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E991" w14:textId="7F6AFDC7" w:rsidR="00564BD7" w:rsidRPr="00D54E0F" w:rsidRDefault="004D7E79">
      <w:pPr>
        <w:jc w:val="center"/>
        <w:rPr>
          <w:rFonts w:ascii="Cambria" w:hAnsi="Cambria" w:cs="Arial"/>
          <w:b/>
          <w:bCs/>
          <w:i/>
          <w:iCs/>
          <w:sz w:val="22"/>
          <w:szCs w:val="22"/>
        </w:rPr>
      </w:pPr>
      <w:r>
        <w:rPr>
          <w:rFonts w:ascii="Cambria" w:hAnsi="Cambria" w:cs="Arial"/>
          <w:b/>
          <w:bCs/>
          <w:i/>
          <w:iCs/>
          <w:sz w:val="22"/>
          <w:szCs w:val="22"/>
        </w:rPr>
        <w:t>KEN</w:t>
      </w:r>
      <w:r w:rsidR="000B1F25">
        <w:rPr>
          <w:rFonts w:ascii="Cambria" w:hAnsi="Cambria" w:cs="Arial"/>
          <w:b/>
          <w:bCs/>
          <w:i/>
          <w:iCs/>
          <w:sz w:val="22"/>
          <w:szCs w:val="22"/>
        </w:rPr>
        <w:t>NETH</w:t>
      </w:r>
      <w:r w:rsidR="00564BD7" w:rsidRPr="00D54E0F">
        <w:rPr>
          <w:rFonts w:ascii="Cambria" w:hAnsi="Cambria" w:cs="Arial"/>
          <w:b/>
          <w:bCs/>
          <w:i/>
          <w:iCs/>
          <w:sz w:val="22"/>
          <w:szCs w:val="22"/>
        </w:rPr>
        <w:t xml:space="preserve"> MCGUIRE</w:t>
      </w:r>
    </w:p>
    <w:p w14:paraId="08204608" w14:textId="77777777" w:rsidR="00564BD7" w:rsidRPr="00D54E0F" w:rsidRDefault="00E25ABE">
      <w:pPr>
        <w:pStyle w:val="Heading2"/>
        <w:rPr>
          <w:rFonts w:ascii="Cambria" w:hAnsi="Cambria" w:cs="Arial"/>
          <w:b/>
          <w:bCs/>
          <w:sz w:val="22"/>
          <w:szCs w:val="22"/>
        </w:rPr>
      </w:pPr>
      <w:r w:rsidRPr="00D54E0F">
        <w:rPr>
          <w:rFonts w:ascii="Cambria" w:hAnsi="Cambria" w:cs="Arial"/>
          <w:b/>
          <w:bCs/>
          <w:sz w:val="22"/>
          <w:szCs w:val="22"/>
        </w:rPr>
        <w:t>23</w:t>
      </w:r>
      <w:r w:rsidR="0052376E" w:rsidRPr="00D54E0F">
        <w:rPr>
          <w:rFonts w:ascii="Cambria" w:hAnsi="Cambria" w:cs="Arial"/>
          <w:b/>
          <w:bCs/>
          <w:sz w:val="22"/>
          <w:szCs w:val="22"/>
        </w:rPr>
        <w:t xml:space="preserve"> Stirling Drive</w:t>
      </w:r>
    </w:p>
    <w:p w14:paraId="592B5907" w14:textId="77777777" w:rsidR="00443D58" w:rsidRPr="00D54E0F" w:rsidRDefault="0052376E">
      <w:pPr>
        <w:jc w:val="center"/>
        <w:rPr>
          <w:rFonts w:ascii="Cambria" w:hAnsi="Cambria" w:cs="Arial"/>
          <w:b/>
          <w:bCs/>
          <w:i/>
          <w:iCs/>
          <w:sz w:val="22"/>
          <w:szCs w:val="22"/>
        </w:rPr>
      </w:pPr>
      <w:r w:rsidRPr="00D54E0F">
        <w:rPr>
          <w:rFonts w:ascii="Cambria" w:hAnsi="Cambria" w:cs="Arial"/>
          <w:b/>
          <w:bCs/>
          <w:i/>
          <w:iCs/>
          <w:sz w:val="22"/>
          <w:szCs w:val="22"/>
        </w:rPr>
        <w:t>Bears</w:t>
      </w:r>
      <w:r w:rsidR="00443D58" w:rsidRPr="00D54E0F">
        <w:rPr>
          <w:rFonts w:ascii="Cambria" w:hAnsi="Cambria" w:cs="Arial"/>
          <w:b/>
          <w:bCs/>
          <w:i/>
          <w:iCs/>
          <w:sz w:val="22"/>
          <w:szCs w:val="22"/>
        </w:rPr>
        <w:t>den</w:t>
      </w:r>
    </w:p>
    <w:p w14:paraId="6F033D41" w14:textId="77777777" w:rsidR="00FC29BE" w:rsidRPr="00D54E0F" w:rsidRDefault="00443D58">
      <w:pPr>
        <w:jc w:val="center"/>
        <w:rPr>
          <w:rFonts w:ascii="Cambria" w:hAnsi="Cambria" w:cs="Arial"/>
          <w:b/>
          <w:bCs/>
          <w:i/>
          <w:iCs/>
          <w:sz w:val="22"/>
          <w:szCs w:val="22"/>
        </w:rPr>
      </w:pPr>
      <w:r w:rsidRPr="00D54E0F">
        <w:rPr>
          <w:rFonts w:ascii="Cambria" w:hAnsi="Cambria" w:cs="Arial"/>
          <w:b/>
          <w:bCs/>
          <w:i/>
          <w:iCs/>
          <w:sz w:val="22"/>
          <w:szCs w:val="22"/>
        </w:rPr>
        <w:t>Glasgow</w:t>
      </w:r>
    </w:p>
    <w:p w14:paraId="5F33DE29" w14:textId="2B52DCED" w:rsidR="00564BD7" w:rsidRPr="00D54E0F" w:rsidRDefault="00443D58" w:rsidP="00B57834">
      <w:pPr>
        <w:jc w:val="center"/>
        <w:rPr>
          <w:rFonts w:ascii="Cambria" w:hAnsi="Cambria" w:cs="Arial"/>
          <w:b/>
          <w:bCs/>
          <w:i/>
          <w:iCs/>
          <w:sz w:val="22"/>
          <w:szCs w:val="22"/>
        </w:rPr>
      </w:pPr>
      <w:r w:rsidRPr="00D54E0F">
        <w:rPr>
          <w:rFonts w:ascii="Cambria" w:hAnsi="Cambria" w:cs="Arial"/>
          <w:b/>
          <w:bCs/>
          <w:i/>
          <w:iCs/>
          <w:sz w:val="22"/>
          <w:szCs w:val="22"/>
        </w:rPr>
        <w:t xml:space="preserve">G61 </w:t>
      </w:r>
      <w:r w:rsidR="0052376E" w:rsidRPr="00D54E0F">
        <w:rPr>
          <w:rFonts w:ascii="Cambria" w:hAnsi="Cambria" w:cs="Arial"/>
          <w:b/>
          <w:bCs/>
          <w:i/>
          <w:iCs/>
          <w:sz w:val="22"/>
          <w:szCs w:val="22"/>
        </w:rPr>
        <w:t>4NU</w:t>
      </w:r>
    </w:p>
    <w:p w14:paraId="08981120" w14:textId="77777777" w:rsidR="00616879" w:rsidRDefault="00616879" w:rsidP="00B57834">
      <w:pPr>
        <w:jc w:val="center"/>
        <w:rPr>
          <w:rFonts w:ascii="Cambria" w:hAnsi="Cambria" w:cs="Arial"/>
          <w:b/>
          <w:bCs/>
          <w:i/>
          <w:iCs/>
          <w:sz w:val="22"/>
          <w:szCs w:val="22"/>
        </w:rPr>
      </w:pPr>
    </w:p>
    <w:p w14:paraId="20F5100C" w14:textId="513F687B" w:rsidR="00FC29BE" w:rsidRPr="00D54E0F" w:rsidRDefault="00564BD7" w:rsidP="00B57834">
      <w:pPr>
        <w:jc w:val="center"/>
        <w:rPr>
          <w:rFonts w:ascii="Cambria" w:hAnsi="Cambria" w:cs="Arial"/>
          <w:b/>
          <w:bCs/>
          <w:i/>
          <w:iCs/>
          <w:sz w:val="22"/>
          <w:szCs w:val="22"/>
        </w:rPr>
      </w:pPr>
      <w:r w:rsidRPr="00D54E0F">
        <w:rPr>
          <w:rFonts w:ascii="Cambria" w:hAnsi="Cambria" w:cs="Arial"/>
          <w:b/>
          <w:bCs/>
          <w:i/>
          <w:iCs/>
          <w:sz w:val="22"/>
          <w:szCs w:val="22"/>
        </w:rPr>
        <w:t xml:space="preserve"> </w:t>
      </w:r>
      <w:r w:rsidR="000A7432" w:rsidRPr="00D54E0F">
        <w:rPr>
          <w:rFonts w:ascii="Cambria" w:hAnsi="Cambria" w:cs="Arial"/>
          <w:b/>
          <w:bCs/>
          <w:i/>
          <w:iCs/>
          <w:sz w:val="22"/>
          <w:szCs w:val="22"/>
        </w:rPr>
        <w:t>0</w:t>
      </w:r>
      <w:r w:rsidR="009057D7" w:rsidRPr="00D54E0F">
        <w:rPr>
          <w:rFonts w:ascii="Cambria" w:hAnsi="Cambria" w:cs="Arial"/>
          <w:b/>
          <w:bCs/>
          <w:i/>
          <w:iCs/>
          <w:sz w:val="22"/>
          <w:szCs w:val="22"/>
        </w:rPr>
        <w:t>7976 413931</w:t>
      </w:r>
    </w:p>
    <w:p w14:paraId="3D99C336" w14:textId="77777777" w:rsidR="00616879" w:rsidRDefault="00616879" w:rsidP="00B57834">
      <w:pPr>
        <w:jc w:val="center"/>
        <w:rPr>
          <w:rFonts w:ascii="Cambria" w:hAnsi="Cambria" w:cs="Arial"/>
          <w:b/>
          <w:bCs/>
          <w:i/>
          <w:iCs/>
          <w:sz w:val="22"/>
          <w:szCs w:val="22"/>
        </w:rPr>
      </w:pPr>
    </w:p>
    <w:p w14:paraId="5A7F2F1B" w14:textId="6B19C915" w:rsidR="00697658" w:rsidRPr="00972609" w:rsidRDefault="00697658" w:rsidP="00B57834">
      <w:pPr>
        <w:jc w:val="center"/>
        <w:rPr>
          <w:rFonts w:ascii="Cambria" w:hAnsi="Cambria" w:cs="Arial"/>
          <w:b/>
          <w:bCs/>
          <w:i/>
          <w:iCs/>
          <w:sz w:val="22"/>
          <w:szCs w:val="22"/>
        </w:rPr>
      </w:pPr>
      <w:r w:rsidRPr="00972609">
        <w:rPr>
          <w:rFonts w:ascii="Cambria" w:hAnsi="Cambria" w:cs="Arial"/>
          <w:b/>
          <w:bCs/>
          <w:i/>
          <w:iCs/>
          <w:sz w:val="22"/>
          <w:szCs w:val="22"/>
        </w:rPr>
        <w:t>kenneth.mcguire@</w:t>
      </w:r>
      <w:r w:rsidR="00835C84">
        <w:rPr>
          <w:rFonts w:ascii="Cambria" w:hAnsi="Cambria" w:cs="Arial"/>
          <w:b/>
          <w:bCs/>
          <w:i/>
          <w:iCs/>
          <w:sz w:val="22"/>
          <w:szCs w:val="22"/>
        </w:rPr>
        <w:t>advocates.org.uk</w:t>
      </w:r>
      <w:bookmarkStart w:id="0" w:name="_GoBack"/>
      <w:bookmarkEnd w:id="0"/>
    </w:p>
    <w:p w14:paraId="1C0C0B6C" w14:textId="77777777" w:rsidR="00D854E1" w:rsidRDefault="00D854E1" w:rsidP="00D854E1">
      <w:pPr>
        <w:pStyle w:val="BodyTextIndent"/>
        <w:ind w:left="0"/>
        <w:jc w:val="both"/>
        <w:rPr>
          <w:rFonts w:ascii="Cambria" w:hAnsi="Cambria" w:cs="Arial"/>
          <w:bCs/>
          <w:sz w:val="22"/>
          <w:szCs w:val="22"/>
        </w:rPr>
      </w:pPr>
    </w:p>
    <w:p w14:paraId="0231286A" w14:textId="645B4251" w:rsidR="00CC5003" w:rsidRPr="00D54E0F" w:rsidRDefault="00AF64A0" w:rsidP="00D854E1">
      <w:pPr>
        <w:pStyle w:val="BodyTextIndent"/>
        <w:ind w:left="0"/>
        <w:jc w:val="both"/>
        <w:rPr>
          <w:rFonts w:ascii="Cambria" w:hAnsi="Cambria" w:cs="Arial"/>
          <w:bCs/>
          <w:sz w:val="22"/>
          <w:szCs w:val="22"/>
        </w:rPr>
      </w:pPr>
      <w:r>
        <w:rPr>
          <w:rFonts w:ascii="Cambria" w:hAnsi="Cambria" w:cs="Arial"/>
          <w:bCs/>
          <w:sz w:val="22"/>
          <w:szCs w:val="22"/>
        </w:rPr>
        <w:t>June 2010:</w:t>
      </w:r>
      <w:r w:rsidR="00D854E1">
        <w:rPr>
          <w:rFonts w:ascii="Cambria" w:hAnsi="Cambria" w:cs="Arial"/>
          <w:bCs/>
          <w:sz w:val="22"/>
          <w:szCs w:val="22"/>
        </w:rPr>
        <w:t xml:space="preserve"> </w:t>
      </w:r>
      <w:r w:rsidR="00CF62F5" w:rsidRPr="00D54E0F">
        <w:rPr>
          <w:rFonts w:ascii="Cambria" w:hAnsi="Cambria" w:cs="Arial"/>
          <w:bCs/>
          <w:sz w:val="22"/>
          <w:szCs w:val="22"/>
        </w:rPr>
        <w:t xml:space="preserve">admitted </w:t>
      </w:r>
      <w:r w:rsidR="004D2EBA">
        <w:rPr>
          <w:rFonts w:ascii="Cambria" w:hAnsi="Cambria" w:cs="Arial"/>
          <w:bCs/>
          <w:sz w:val="22"/>
          <w:szCs w:val="22"/>
        </w:rPr>
        <w:t xml:space="preserve">to Faculty of </w:t>
      </w:r>
      <w:r w:rsidR="00CF62F5" w:rsidRPr="00D54E0F">
        <w:rPr>
          <w:rFonts w:ascii="Cambria" w:hAnsi="Cambria" w:cs="Arial"/>
          <w:bCs/>
          <w:sz w:val="22"/>
          <w:szCs w:val="22"/>
        </w:rPr>
        <w:t>Adv</w:t>
      </w:r>
      <w:r w:rsidR="000C2FFC" w:rsidRPr="00D54E0F">
        <w:rPr>
          <w:rFonts w:ascii="Cambria" w:hAnsi="Cambria" w:cs="Arial"/>
          <w:bCs/>
          <w:sz w:val="22"/>
          <w:szCs w:val="22"/>
        </w:rPr>
        <w:t>o</w:t>
      </w:r>
      <w:r w:rsidR="004D2EBA">
        <w:rPr>
          <w:rFonts w:ascii="Cambria" w:hAnsi="Cambria" w:cs="Arial"/>
          <w:bCs/>
          <w:sz w:val="22"/>
          <w:szCs w:val="22"/>
        </w:rPr>
        <w:t>cates</w:t>
      </w:r>
      <w:r w:rsidR="00FC5586">
        <w:rPr>
          <w:rFonts w:ascii="Cambria" w:hAnsi="Cambria" w:cs="Arial"/>
          <w:bCs/>
          <w:sz w:val="22"/>
          <w:szCs w:val="22"/>
        </w:rPr>
        <w:t xml:space="preserve"> (currently member of Westwater Advocates)</w:t>
      </w:r>
      <w:r w:rsidR="004A4185" w:rsidRPr="00D54E0F">
        <w:rPr>
          <w:rFonts w:ascii="Cambria" w:hAnsi="Cambria" w:cs="Arial"/>
          <w:bCs/>
          <w:sz w:val="22"/>
          <w:szCs w:val="22"/>
        </w:rPr>
        <w:t>.</w:t>
      </w:r>
    </w:p>
    <w:p w14:paraId="1BB2EE48" w14:textId="6EB153AF" w:rsidR="00CF62F5" w:rsidRPr="00D54E0F" w:rsidRDefault="00CF62F5" w:rsidP="00D854E1">
      <w:pPr>
        <w:pStyle w:val="BodyTextIndent"/>
        <w:ind w:left="0"/>
        <w:jc w:val="both"/>
        <w:rPr>
          <w:rFonts w:ascii="Cambria" w:hAnsi="Cambria" w:cs="Arial"/>
          <w:bCs/>
          <w:sz w:val="22"/>
          <w:szCs w:val="22"/>
        </w:rPr>
      </w:pPr>
      <w:r w:rsidRPr="00D54E0F">
        <w:rPr>
          <w:rFonts w:ascii="Cambria" w:hAnsi="Cambria" w:cs="Arial"/>
          <w:bCs/>
          <w:sz w:val="22"/>
          <w:szCs w:val="22"/>
        </w:rPr>
        <w:t xml:space="preserve">2008 – 2010: </w:t>
      </w:r>
      <w:proofErr w:type="spellStart"/>
      <w:r w:rsidRPr="00D54E0F">
        <w:rPr>
          <w:rFonts w:ascii="Cambria" w:hAnsi="Cambria" w:cs="Arial"/>
          <w:bCs/>
          <w:sz w:val="22"/>
          <w:szCs w:val="22"/>
        </w:rPr>
        <w:t>Maclay</w:t>
      </w:r>
      <w:proofErr w:type="spellEnd"/>
      <w:r w:rsidRPr="00D54E0F">
        <w:rPr>
          <w:rFonts w:ascii="Cambria" w:hAnsi="Cambria" w:cs="Arial"/>
          <w:bCs/>
          <w:sz w:val="22"/>
          <w:szCs w:val="22"/>
        </w:rPr>
        <w:t xml:space="preserve"> Murray &amp; </w:t>
      </w:r>
      <w:proofErr w:type="spellStart"/>
      <w:r w:rsidR="00AF64A0">
        <w:rPr>
          <w:rFonts w:ascii="Cambria" w:hAnsi="Cambria" w:cs="Arial"/>
          <w:bCs/>
          <w:sz w:val="22"/>
          <w:szCs w:val="22"/>
        </w:rPr>
        <w:t>Spens</w:t>
      </w:r>
      <w:proofErr w:type="spellEnd"/>
      <w:r w:rsidR="00AF64A0">
        <w:rPr>
          <w:rFonts w:ascii="Cambria" w:hAnsi="Cambria" w:cs="Arial"/>
          <w:bCs/>
          <w:sz w:val="22"/>
          <w:szCs w:val="22"/>
        </w:rPr>
        <w:t xml:space="preserve"> LLP</w:t>
      </w:r>
      <w:r w:rsidR="00D854E1">
        <w:rPr>
          <w:rFonts w:ascii="Cambria" w:hAnsi="Cambria" w:cs="Arial"/>
          <w:bCs/>
          <w:sz w:val="22"/>
          <w:szCs w:val="22"/>
        </w:rPr>
        <w:t xml:space="preserve"> (now Dentons)</w:t>
      </w:r>
      <w:r w:rsidRPr="00D54E0F">
        <w:rPr>
          <w:rFonts w:ascii="Cambria" w:hAnsi="Cambria" w:cs="Arial"/>
          <w:bCs/>
          <w:sz w:val="22"/>
          <w:szCs w:val="22"/>
        </w:rPr>
        <w:t>, Glasgow.</w:t>
      </w:r>
    </w:p>
    <w:p w14:paraId="3A6C11E7" w14:textId="77777777" w:rsidR="00CF62F5" w:rsidRPr="00D54E0F" w:rsidRDefault="00CF62F5" w:rsidP="00D854E1">
      <w:pPr>
        <w:pStyle w:val="BodyTextIndent"/>
        <w:ind w:left="0"/>
        <w:jc w:val="both"/>
        <w:rPr>
          <w:rFonts w:ascii="Cambria" w:hAnsi="Cambria" w:cs="Arial"/>
          <w:bCs/>
          <w:sz w:val="22"/>
          <w:szCs w:val="22"/>
        </w:rPr>
      </w:pPr>
      <w:r w:rsidRPr="00D54E0F">
        <w:rPr>
          <w:rFonts w:ascii="Cambria" w:hAnsi="Cambria" w:cs="Arial"/>
          <w:bCs/>
          <w:sz w:val="22"/>
          <w:szCs w:val="22"/>
        </w:rPr>
        <w:t xml:space="preserve">2007 – 2008: </w:t>
      </w:r>
      <w:proofErr w:type="spellStart"/>
      <w:r w:rsidRPr="00D54E0F">
        <w:rPr>
          <w:rFonts w:ascii="Cambria" w:hAnsi="Cambria" w:cs="Arial"/>
          <w:bCs/>
          <w:sz w:val="22"/>
          <w:szCs w:val="22"/>
        </w:rPr>
        <w:t>Rickerbys</w:t>
      </w:r>
      <w:proofErr w:type="spellEnd"/>
      <w:r w:rsidRPr="00D54E0F">
        <w:rPr>
          <w:rFonts w:ascii="Cambria" w:hAnsi="Cambria" w:cs="Arial"/>
          <w:bCs/>
          <w:sz w:val="22"/>
          <w:szCs w:val="22"/>
        </w:rPr>
        <w:t xml:space="preserve"> Solicitors, Cheltenham.</w:t>
      </w:r>
    </w:p>
    <w:p w14:paraId="0E8DF5D1" w14:textId="39D7E8BB" w:rsidR="008E7215" w:rsidRDefault="008B0B7B" w:rsidP="00D854E1">
      <w:pPr>
        <w:pStyle w:val="BodyTextIndent"/>
        <w:ind w:left="0"/>
        <w:jc w:val="both"/>
        <w:rPr>
          <w:rFonts w:ascii="Cambria" w:hAnsi="Cambria" w:cs="Arial"/>
          <w:bCs/>
          <w:sz w:val="22"/>
          <w:szCs w:val="22"/>
        </w:rPr>
      </w:pPr>
      <w:r w:rsidRPr="00D54E0F">
        <w:rPr>
          <w:rFonts w:ascii="Cambria" w:hAnsi="Cambria" w:cs="Arial"/>
          <w:bCs/>
          <w:sz w:val="22"/>
          <w:szCs w:val="22"/>
        </w:rPr>
        <w:t>July 2000</w:t>
      </w:r>
      <w:r w:rsidR="00CF62F5" w:rsidRPr="00D54E0F">
        <w:rPr>
          <w:rFonts w:ascii="Cambria" w:hAnsi="Cambria" w:cs="Arial"/>
          <w:bCs/>
          <w:sz w:val="22"/>
          <w:szCs w:val="22"/>
        </w:rPr>
        <w:t>:</w:t>
      </w:r>
      <w:r w:rsidRPr="00D54E0F">
        <w:rPr>
          <w:rFonts w:ascii="Cambria" w:hAnsi="Cambria" w:cs="Arial"/>
          <w:bCs/>
          <w:sz w:val="22"/>
          <w:szCs w:val="22"/>
        </w:rPr>
        <w:t xml:space="preserve"> </w:t>
      </w:r>
      <w:r w:rsidR="00CF62F5" w:rsidRPr="00D54E0F">
        <w:rPr>
          <w:rFonts w:ascii="Cambria" w:hAnsi="Cambria" w:cs="Arial"/>
          <w:bCs/>
          <w:sz w:val="22"/>
          <w:szCs w:val="22"/>
        </w:rPr>
        <w:t>called to the Bar in England</w:t>
      </w:r>
      <w:r w:rsidR="0085558A">
        <w:rPr>
          <w:rFonts w:ascii="Cambria" w:hAnsi="Cambria" w:cs="Arial"/>
          <w:bCs/>
          <w:sz w:val="22"/>
          <w:szCs w:val="22"/>
        </w:rPr>
        <w:t xml:space="preserve"> and Wales</w:t>
      </w:r>
      <w:r w:rsidR="00CF62F5" w:rsidRPr="00D54E0F">
        <w:rPr>
          <w:rFonts w:ascii="Cambria" w:hAnsi="Cambria" w:cs="Arial"/>
          <w:bCs/>
          <w:sz w:val="22"/>
          <w:szCs w:val="22"/>
        </w:rPr>
        <w:t xml:space="preserve"> (</w:t>
      </w:r>
      <w:r w:rsidR="006535EA">
        <w:rPr>
          <w:rFonts w:ascii="Cambria" w:hAnsi="Cambria" w:cs="Arial"/>
          <w:bCs/>
          <w:sz w:val="22"/>
          <w:szCs w:val="22"/>
        </w:rPr>
        <w:t xml:space="preserve">former </w:t>
      </w:r>
      <w:r w:rsidR="00AC6DA6">
        <w:rPr>
          <w:rFonts w:ascii="Cambria" w:hAnsi="Cambria" w:cs="Arial"/>
          <w:bCs/>
          <w:sz w:val="22"/>
          <w:szCs w:val="22"/>
        </w:rPr>
        <w:t>tena</w:t>
      </w:r>
      <w:r w:rsidR="00D854E1">
        <w:rPr>
          <w:rFonts w:ascii="Cambria" w:hAnsi="Cambria" w:cs="Arial"/>
          <w:bCs/>
          <w:sz w:val="22"/>
          <w:szCs w:val="22"/>
        </w:rPr>
        <w:t>n</w:t>
      </w:r>
      <w:r w:rsidR="00AC6DA6">
        <w:rPr>
          <w:rFonts w:ascii="Cambria" w:hAnsi="Cambria" w:cs="Arial"/>
          <w:bCs/>
          <w:sz w:val="22"/>
          <w:szCs w:val="22"/>
        </w:rPr>
        <w:t>t</w:t>
      </w:r>
      <w:r w:rsidR="00D854E1">
        <w:rPr>
          <w:rFonts w:ascii="Cambria" w:hAnsi="Cambria" w:cs="Arial"/>
          <w:bCs/>
          <w:sz w:val="22"/>
          <w:szCs w:val="22"/>
        </w:rPr>
        <w:t xml:space="preserve"> </w:t>
      </w:r>
      <w:r w:rsidR="005B4EAB">
        <w:rPr>
          <w:rFonts w:ascii="Cambria" w:hAnsi="Cambria" w:cs="Arial"/>
          <w:bCs/>
          <w:sz w:val="22"/>
          <w:szCs w:val="22"/>
        </w:rPr>
        <w:t xml:space="preserve">at </w:t>
      </w:r>
      <w:r w:rsidR="000B1F25">
        <w:rPr>
          <w:rFonts w:ascii="Cambria" w:hAnsi="Cambria" w:cs="Arial"/>
          <w:bCs/>
          <w:sz w:val="22"/>
          <w:szCs w:val="22"/>
        </w:rPr>
        <w:t xml:space="preserve">12 Old Square, </w:t>
      </w:r>
      <w:r w:rsidR="00EC4573">
        <w:rPr>
          <w:rFonts w:ascii="Cambria" w:hAnsi="Cambria" w:cs="Arial"/>
          <w:bCs/>
          <w:sz w:val="22"/>
          <w:szCs w:val="22"/>
        </w:rPr>
        <w:t>3</w:t>
      </w:r>
      <w:r w:rsidR="000B1F25">
        <w:rPr>
          <w:rFonts w:ascii="Cambria" w:hAnsi="Cambria" w:cs="Arial"/>
          <w:bCs/>
          <w:sz w:val="22"/>
          <w:szCs w:val="22"/>
        </w:rPr>
        <w:t xml:space="preserve">6 Bedford Row and </w:t>
      </w:r>
      <w:r w:rsidR="00AC6DA6">
        <w:rPr>
          <w:rFonts w:ascii="Cambria" w:hAnsi="Cambria" w:cs="Arial"/>
          <w:bCs/>
          <w:sz w:val="22"/>
          <w:szCs w:val="22"/>
        </w:rPr>
        <w:t xml:space="preserve">3 </w:t>
      </w:r>
      <w:r w:rsidRPr="00D54E0F">
        <w:rPr>
          <w:rFonts w:ascii="Cambria" w:hAnsi="Cambria" w:cs="Arial"/>
          <w:bCs/>
          <w:sz w:val="22"/>
          <w:szCs w:val="22"/>
        </w:rPr>
        <w:t>Paper Buildings, Temple, London</w:t>
      </w:r>
      <w:r w:rsidR="002D6FDD">
        <w:rPr>
          <w:rFonts w:ascii="Cambria" w:hAnsi="Cambria" w:cs="Arial"/>
          <w:bCs/>
          <w:sz w:val="22"/>
          <w:szCs w:val="22"/>
        </w:rPr>
        <w:t xml:space="preserve">) and practised at the Bar </w:t>
      </w:r>
      <w:r w:rsidR="006535EA">
        <w:rPr>
          <w:rFonts w:ascii="Cambria" w:hAnsi="Cambria" w:cs="Arial"/>
          <w:bCs/>
          <w:sz w:val="22"/>
          <w:szCs w:val="22"/>
        </w:rPr>
        <w:t>until 2007</w:t>
      </w:r>
      <w:r w:rsidR="005F2C0E" w:rsidRPr="00D54E0F">
        <w:rPr>
          <w:rFonts w:ascii="Cambria" w:hAnsi="Cambria" w:cs="Arial"/>
          <w:bCs/>
          <w:sz w:val="22"/>
          <w:szCs w:val="22"/>
        </w:rPr>
        <w:t>.</w:t>
      </w:r>
    </w:p>
    <w:p w14:paraId="0E782A5E" w14:textId="77777777" w:rsidR="00D854E1" w:rsidRDefault="00D854E1" w:rsidP="002D6FDD">
      <w:pPr>
        <w:pStyle w:val="BodyTextIndent"/>
        <w:ind w:left="0"/>
        <w:rPr>
          <w:rFonts w:ascii="Cambria" w:hAnsi="Cambria" w:cs="Arial"/>
          <w:b/>
          <w:bCs/>
          <w:sz w:val="22"/>
          <w:szCs w:val="22"/>
        </w:rPr>
      </w:pPr>
    </w:p>
    <w:p w14:paraId="36980A0F" w14:textId="7B346FA2" w:rsidR="00CA3B51" w:rsidRPr="002D6FDD" w:rsidRDefault="00CA3B51" w:rsidP="002D6FDD">
      <w:pPr>
        <w:pStyle w:val="BodyTextIndent"/>
        <w:jc w:val="center"/>
        <w:rPr>
          <w:rFonts w:ascii="Cambria" w:hAnsi="Cambria" w:cs="Arial"/>
          <w:b/>
          <w:bCs/>
          <w:sz w:val="22"/>
          <w:szCs w:val="22"/>
        </w:rPr>
      </w:pPr>
      <w:r w:rsidRPr="00CA3B51">
        <w:rPr>
          <w:rFonts w:ascii="Cambria" w:hAnsi="Cambria" w:cs="Arial"/>
          <w:b/>
          <w:bCs/>
          <w:sz w:val="22"/>
          <w:szCs w:val="22"/>
        </w:rPr>
        <w:t>Appointments</w:t>
      </w:r>
    </w:p>
    <w:p w14:paraId="5664528E" w14:textId="77777777" w:rsidR="00D854E1" w:rsidRDefault="00D854E1" w:rsidP="00CA3B51">
      <w:pPr>
        <w:pStyle w:val="BodyTextIndent"/>
        <w:jc w:val="both"/>
        <w:rPr>
          <w:rFonts w:ascii="Cambria" w:hAnsi="Cambria" w:cs="Arial"/>
          <w:bCs/>
          <w:sz w:val="22"/>
          <w:szCs w:val="22"/>
        </w:rPr>
      </w:pPr>
    </w:p>
    <w:p w14:paraId="7D09A776" w14:textId="77777777" w:rsidR="005B4EAB" w:rsidRDefault="005B4EAB" w:rsidP="00D854E1">
      <w:pPr>
        <w:pStyle w:val="BodyTextIndent"/>
        <w:ind w:left="0"/>
        <w:jc w:val="both"/>
        <w:rPr>
          <w:rFonts w:ascii="Cambria" w:hAnsi="Cambria" w:cs="Arial"/>
          <w:bCs/>
          <w:sz w:val="22"/>
          <w:szCs w:val="22"/>
        </w:rPr>
      </w:pPr>
      <w:r>
        <w:rPr>
          <w:rFonts w:ascii="Cambria" w:hAnsi="Cambria" w:cs="Arial"/>
          <w:bCs/>
          <w:sz w:val="22"/>
          <w:szCs w:val="22"/>
        </w:rPr>
        <w:t>2018 – Standing Junior Counsel to the Scottish Ministers</w:t>
      </w:r>
    </w:p>
    <w:p w14:paraId="0AD3B755" w14:textId="088E5FD8" w:rsidR="00CA3B51" w:rsidRDefault="005B4EAB" w:rsidP="00D854E1">
      <w:pPr>
        <w:pStyle w:val="BodyTextIndent"/>
        <w:ind w:left="0"/>
        <w:jc w:val="both"/>
        <w:rPr>
          <w:rFonts w:ascii="Cambria" w:hAnsi="Cambria" w:cs="Arial"/>
          <w:bCs/>
          <w:sz w:val="22"/>
          <w:szCs w:val="22"/>
        </w:rPr>
      </w:pPr>
      <w:r>
        <w:rPr>
          <w:rFonts w:ascii="Cambria" w:hAnsi="Cambria" w:cs="Arial"/>
          <w:bCs/>
          <w:sz w:val="22"/>
          <w:szCs w:val="22"/>
        </w:rPr>
        <w:t xml:space="preserve">2019 – </w:t>
      </w:r>
      <w:r w:rsidR="00755B41">
        <w:rPr>
          <w:rFonts w:ascii="Cambria" w:hAnsi="Cambria" w:cs="Arial"/>
          <w:bCs/>
          <w:sz w:val="22"/>
          <w:szCs w:val="22"/>
        </w:rPr>
        <w:t xml:space="preserve">Preferred </w:t>
      </w:r>
      <w:r w:rsidR="00CA3B51">
        <w:rPr>
          <w:rFonts w:ascii="Cambria" w:hAnsi="Cambria" w:cs="Arial"/>
          <w:bCs/>
          <w:sz w:val="22"/>
          <w:szCs w:val="22"/>
        </w:rPr>
        <w:t>Counsel for the Equality and Human Rights Commission</w:t>
      </w:r>
      <w:r>
        <w:rPr>
          <w:rFonts w:ascii="Cambria" w:hAnsi="Cambria" w:cs="Arial"/>
          <w:bCs/>
          <w:sz w:val="22"/>
          <w:szCs w:val="22"/>
        </w:rPr>
        <w:t xml:space="preserve"> (B Panel)</w:t>
      </w:r>
    </w:p>
    <w:p w14:paraId="7106914A" w14:textId="77777777" w:rsidR="00CF62F5" w:rsidRPr="00D54E0F" w:rsidRDefault="00CF62F5" w:rsidP="00B671F9">
      <w:pPr>
        <w:pStyle w:val="BodyTextIndent"/>
        <w:jc w:val="both"/>
        <w:rPr>
          <w:rFonts w:ascii="Cambria" w:hAnsi="Cambria" w:cs="Arial"/>
          <w:b/>
          <w:bCs/>
          <w:sz w:val="22"/>
          <w:szCs w:val="22"/>
        </w:rPr>
      </w:pPr>
    </w:p>
    <w:p w14:paraId="51282AF5" w14:textId="77777777" w:rsidR="00D854E1" w:rsidRDefault="00D854E1" w:rsidP="00D54E0F">
      <w:pPr>
        <w:pStyle w:val="BodyTextIndent"/>
        <w:jc w:val="center"/>
        <w:rPr>
          <w:rFonts w:ascii="Cambria" w:hAnsi="Cambria" w:cs="Arial"/>
          <w:b/>
          <w:bCs/>
          <w:sz w:val="22"/>
          <w:szCs w:val="22"/>
        </w:rPr>
      </w:pPr>
    </w:p>
    <w:p w14:paraId="0CA98701" w14:textId="1D61EF5B" w:rsidR="00C4291C" w:rsidRPr="00D54E0F" w:rsidRDefault="0048769A" w:rsidP="00D54E0F">
      <w:pPr>
        <w:pStyle w:val="BodyTextIndent"/>
        <w:jc w:val="center"/>
        <w:rPr>
          <w:rFonts w:ascii="Cambria" w:hAnsi="Cambria" w:cs="Arial"/>
          <w:b/>
          <w:bCs/>
          <w:sz w:val="22"/>
          <w:szCs w:val="22"/>
        </w:rPr>
      </w:pPr>
      <w:r w:rsidRPr="00D54E0F">
        <w:rPr>
          <w:rFonts w:ascii="Cambria" w:hAnsi="Cambria" w:cs="Arial"/>
          <w:b/>
          <w:bCs/>
          <w:sz w:val="22"/>
          <w:szCs w:val="22"/>
        </w:rPr>
        <w:t xml:space="preserve">Main </w:t>
      </w:r>
      <w:r w:rsidR="004906EB" w:rsidRPr="00D54E0F">
        <w:rPr>
          <w:rFonts w:ascii="Cambria" w:hAnsi="Cambria" w:cs="Arial"/>
          <w:b/>
          <w:bCs/>
          <w:sz w:val="22"/>
          <w:szCs w:val="22"/>
        </w:rPr>
        <w:t xml:space="preserve">Areas of </w:t>
      </w:r>
      <w:r w:rsidR="00217723" w:rsidRPr="00D54E0F">
        <w:rPr>
          <w:rFonts w:ascii="Cambria" w:hAnsi="Cambria" w:cs="Arial"/>
          <w:b/>
          <w:bCs/>
          <w:sz w:val="22"/>
          <w:szCs w:val="22"/>
        </w:rPr>
        <w:t>Practice</w:t>
      </w:r>
    </w:p>
    <w:p w14:paraId="0F430027" w14:textId="77777777" w:rsidR="001926EF" w:rsidRDefault="001926EF" w:rsidP="005F2C0E">
      <w:pPr>
        <w:pStyle w:val="BodyTextIndent"/>
        <w:jc w:val="both"/>
        <w:rPr>
          <w:rFonts w:ascii="Cambria" w:hAnsi="Cambria" w:cs="Arial"/>
          <w:bCs/>
          <w:sz w:val="22"/>
          <w:szCs w:val="22"/>
          <w:u w:val="single"/>
        </w:rPr>
      </w:pPr>
    </w:p>
    <w:p w14:paraId="702DDB8D" w14:textId="77777777" w:rsidR="00D854E1" w:rsidRDefault="00D854E1" w:rsidP="00D854E1">
      <w:pPr>
        <w:pStyle w:val="BodyTextIndent"/>
        <w:jc w:val="center"/>
        <w:rPr>
          <w:rFonts w:ascii="Cambria" w:hAnsi="Cambria" w:cs="Arial"/>
          <w:bCs/>
          <w:sz w:val="22"/>
          <w:szCs w:val="22"/>
          <w:u w:val="single"/>
        </w:rPr>
      </w:pPr>
    </w:p>
    <w:p w14:paraId="71D5FDC0" w14:textId="52570A2A" w:rsidR="005A14A3" w:rsidRPr="00D54E0F" w:rsidRDefault="005A14A3" w:rsidP="00D854E1">
      <w:pPr>
        <w:pStyle w:val="BodyTextIndent"/>
        <w:jc w:val="center"/>
        <w:rPr>
          <w:rFonts w:ascii="Cambria" w:hAnsi="Cambria" w:cs="Arial"/>
          <w:bCs/>
          <w:sz w:val="22"/>
          <w:szCs w:val="22"/>
        </w:rPr>
      </w:pPr>
      <w:r w:rsidRPr="00D54E0F">
        <w:rPr>
          <w:rFonts w:ascii="Cambria" w:hAnsi="Cambria" w:cs="Arial"/>
          <w:bCs/>
          <w:sz w:val="22"/>
          <w:szCs w:val="22"/>
          <w:u w:val="single"/>
        </w:rPr>
        <w:t>Employment and Discrimination Law</w:t>
      </w:r>
    </w:p>
    <w:p w14:paraId="3974B2ED" w14:textId="77777777" w:rsidR="005A14A3" w:rsidRPr="00D54E0F" w:rsidRDefault="005A14A3" w:rsidP="005A14A3">
      <w:pPr>
        <w:pStyle w:val="BodyTextIndent"/>
        <w:jc w:val="both"/>
        <w:rPr>
          <w:rFonts w:ascii="Cambria" w:hAnsi="Cambria" w:cs="Arial"/>
          <w:bCs/>
          <w:sz w:val="22"/>
          <w:szCs w:val="22"/>
        </w:rPr>
      </w:pPr>
    </w:p>
    <w:p w14:paraId="50406B09" w14:textId="77777777" w:rsidR="00D854E1" w:rsidRDefault="00D854E1" w:rsidP="00D854E1">
      <w:pPr>
        <w:pStyle w:val="BodyTextIndent"/>
        <w:ind w:left="0"/>
        <w:jc w:val="both"/>
        <w:rPr>
          <w:rFonts w:ascii="Cambria" w:hAnsi="Cambria" w:cs="Arial"/>
          <w:bCs/>
          <w:sz w:val="22"/>
          <w:szCs w:val="22"/>
        </w:rPr>
      </w:pPr>
    </w:p>
    <w:p w14:paraId="77B51B65" w14:textId="4AA9F7A9" w:rsidR="00AC6DA6" w:rsidRDefault="005A14A3" w:rsidP="00D854E1">
      <w:pPr>
        <w:pStyle w:val="BodyTextIndent"/>
        <w:ind w:left="0"/>
        <w:jc w:val="both"/>
        <w:rPr>
          <w:rFonts w:ascii="Cambria" w:hAnsi="Cambria" w:cs="Arial"/>
          <w:bCs/>
          <w:sz w:val="22"/>
          <w:szCs w:val="22"/>
        </w:rPr>
      </w:pPr>
      <w:r w:rsidRPr="00D54E0F">
        <w:rPr>
          <w:rFonts w:ascii="Cambria" w:hAnsi="Cambria" w:cs="Arial"/>
          <w:bCs/>
          <w:sz w:val="22"/>
          <w:szCs w:val="22"/>
        </w:rPr>
        <w:t xml:space="preserve">I have a busy </w:t>
      </w:r>
      <w:r>
        <w:rPr>
          <w:rFonts w:ascii="Cambria" w:hAnsi="Cambria" w:cs="Arial"/>
          <w:bCs/>
          <w:sz w:val="22"/>
          <w:szCs w:val="22"/>
        </w:rPr>
        <w:t>litigation and advisory</w:t>
      </w:r>
      <w:r w:rsidRPr="00D54E0F">
        <w:rPr>
          <w:rFonts w:ascii="Cambria" w:hAnsi="Cambria" w:cs="Arial"/>
          <w:bCs/>
          <w:sz w:val="22"/>
          <w:szCs w:val="22"/>
        </w:rPr>
        <w:t xml:space="preserve"> practice representing employers, employees and trades unions in all areas of employment and discrimination law.  </w:t>
      </w:r>
      <w:r>
        <w:rPr>
          <w:rFonts w:ascii="Cambria" w:hAnsi="Cambria" w:cs="Arial"/>
          <w:bCs/>
          <w:sz w:val="22"/>
          <w:szCs w:val="22"/>
        </w:rPr>
        <w:t xml:space="preserve">I am ranked as a leading junior in the current editions of Chambers &amp; Partners and The Legal 500.  </w:t>
      </w:r>
      <w:r w:rsidRPr="00D54E0F">
        <w:rPr>
          <w:rFonts w:ascii="Cambria" w:hAnsi="Cambria" w:cs="Arial"/>
          <w:bCs/>
          <w:sz w:val="22"/>
          <w:szCs w:val="22"/>
        </w:rPr>
        <w:t xml:space="preserve">I </w:t>
      </w:r>
      <w:r>
        <w:rPr>
          <w:rFonts w:ascii="Cambria" w:hAnsi="Cambria" w:cs="Arial"/>
          <w:bCs/>
          <w:sz w:val="22"/>
          <w:szCs w:val="22"/>
        </w:rPr>
        <w:t>represent employers and employees in employment tribunal</w:t>
      </w:r>
      <w:r w:rsidRPr="00D54E0F">
        <w:rPr>
          <w:rFonts w:ascii="Cambria" w:hAnsi="Cambria" w:cs="Arial"/>
          <w:bCs/>
          <w:sz w:val="22"/>
          <w:szCs w:val="22"/>
        </w:rPr>
        <w:t xml:space="preserve">s throughout the UK (often appearing against senior counsel) and I also appear regularly in the Employment Appeal Tribunal and the Court of Session.  </w:t>
      </w:r>
      <w:r w:rsidR="002D6FDD">
        <w:rPr>
          <w:rFonts w:ascii="Cambria" w:hAnsi="Cambria" w:cs="Arial"/>
          <w:bCs/>
          <w:sz w:val="22"/>
          <w:szCs w:val="22"/>
        </w:rPr>
        <w:t xml:space="preserve">I have a busy practice in the commercial aspects of employment law I advise frequently on the enforceability of restrictive covenants in contracts of employment and regularly appear in the civil courts to obtain interim interdicts against employees for breach of covenants.  I worked for </w:t>
      </w:r>
      <w:proofErr w:type="spellStart"/>
      <w:r w:rsidR="002D6FDD">
        <w:rPr>
          <w:rFonts w:ascii="Cambria" w:hAnsi="Cambria" w:cs="Arial"/>
          <w:bCs/>
          <w:sz w:val="22"/>
          <w:szCs w:val="22"/>
        </w:rPr>
        <w:t>Macaly</w:t>
      </w:r>
      <w:proofErr w:type="spellEnd"/>
      <w:r w:rsidR="002D6FDD">
        <w:rPr>
          <w:rFonts w:ascii="Cambria" w:hAnsi="Cambria" w:cs="Arial"/>
          <w:bCs/>
          <w:sz w:val="22"/>
          <w:szCs w:val="22"/>
        </w:rPr>
        <w:t xml:space="preserve"> Murray and </w:t>
      </w:r>
      <w:proofErr w:type="spellStart"/>
      <w:r w:rsidR="002D6FDD">
        <w:rPr>
          <w:rFonts w:ascii="Cambria" w:hAnsi="Cambria" w:cs="Arial"/>
          <w:bCs/>
          <w:sz w:val="22"/>
          <w:szCs w:val="22"/>
        </w:rPr>
        <w:t>Spens</w:t>
      </w:r>
      <w:proofErr w:type="spellEnd"/>
      <w:r w:rsidR="002D6FDD">
        <w:rPr>
          <w:rFonts w:ascii="Cambria" w:hAnsi="Cambria" w:cs="Arial"/>
          <w:bCs/>
          <w:sz w:val="22"/>
          <w:szCs w:val="22"/>
        </w:rPr>
        <w:t xml:space="preserve"> LLP (now Dentons) for two years before coming to the Bar in Scotland and regularly drafted employment contracts for senior employees and directors service agreements. </w:t>
      </w:r>
      <w:r>
        <w:rPr>
          <w:rFonts w:ascii="Cambria" w:hAnsi="Cambria" w:cs="Arial"/>
          <w:bCs/>
          <w:sz w:val="22"/>
          <w:szCs w:val="22"/>
        </w:rPr>
        <w:t>In the employment tribunal I have been instructed in lengthy whistleblowing, discrimination and TUPE claims.  I frequently appear on behalf of banks and other financial institutions</w:t>
      </w:r>
      <w:r w:rsidRPr="00D54E0F">
        <w:rPr>
          <w:rFonts w:ascii="Cambria" w:hAnsi="Cambria" w:cs="Arial"/>
          <w:bCs/>
          <w:sz w:val="22"/>
          <w:szCs w:val="22"/>
        </w:rPr>
        <w:t>.  My recent Court of Session and EAT cases include:</w:t>
      </w:r>
    </w:p>
    <w:p w14:paraId="51EAFD57" w14:textId="77777777" w:rsidR="00D854E1" w:rsidRDefault="00D854E1" w:rsidP="00D854E1">
      <w:pPr>
        <w:pStyle w:val="BodyTextIndent"/>
        <w:ind w:left="0"/>
        <w:jc w:val="both"/>
        <w:rPr>
          <w:rFonts w:ascii="Cambria" w:hAnsi="Cambria" w:cs="Arial"/>
          <w:bCs/>
          <w:sz w:val="22"/>
          <w:szCs w:val="22"/>
        </w:rPr>
      </w:pPr>
    </w:p>
    <w:p w14:paraId="27E08AB0" w14:textId="77777777" w:rsidR="00AC6DA6" w:rsidRDefault="00AC6DA6" w:rsidP="00AC6DA6">
      <w:pPr>
        <w:pStyle w:val="BodyTextIndent"/>
        <w:numPr>
          <w:ilvl w:val="0"/>
          <w:numId w:val="26"/>
        </w:numPr>
        <w:jc w:val="both"/>
        <w:rPr>
          <w:rFonts w:ascii="Cambria" w:hAnsi="Cambria" w:cs="Arial"/>
          <w:bCs/>
          <w:sz w:val="22"/>
          <w:szCs w:val="22"/>
        </w:rPr>
      </w:pPr>
      <w:r>
        <w:rPr>
          <w:rFonts w:ascii="Cambria" w:hAnsi="Cambria" w:cs="Arial"/>
          <w:bCs/>
          <w:i/>
          <w:sz w:val="22"/>
          <w:szCs w:val="22"/>
        </w:rPr>
        <w:t xml:space="preserve">Westerton (UK) Limited v Keith </w:t>
      </w:r>
      <w:r w:rsidRPr="00AC6DA6">
        <w:rPr>
          <w:rFonts w:ascii="Cambria" w:hAnsi="Cambria" w:cs="Arial"/>
          <w:bCs/>
          <w:sz w:val="22"/>
          <w:szCs w:val="22"/>
        </w:rPr>
        <w:t>Armstrong</w:t>
      </w:r>
      <w:r>
        <w:rPr>
          <w:rFonts w:ascii="Cambria" w:hAnsi="Cambria" w:cs="Arial"/>
          <w:bCs/>
          <w:sz w:val="22"/>
          <w:szCs w:val="22"/>
        </w:rPr>
        <w:t xml:space="preserve"> 2018 UKEATS/0016/17/AT, EAT appeal</w:t>
      </w:r>
    </w:p>
    <w:p w14:paraId="620E3D5B" w14:textId="73F849AB" w:rsidR="00AC6DA6" w:rsidRDefault="00AC6DA6" w:rsidP="00AC6DA6">
      <w:pPr>
        <w:pStyle w:val="BodyTextIndent"/>
        <w:numPr>
          <w:ilvl w:val="0"/>
          <w:numId w:val="26"/>
        </w:numPr>
        <w:jc w:val="both"/>
        <w:rPr>
          <w:rFonts w:ascii="Cambria" w:hAnsi="Cambria" w:cs="Arial"/>
          <w:bCs/>
          <w:sz w:val="22"/>
          <w:szCs w:val="22"/>
        </w:rPr>
      </w:pPr>
      <w:r>
        <w:rPr>
          <w:rFonts w:ascii="Cambria" w:hAnsi="Cambria" w:cs="Arial"/>
          <w:bCs/>
          <w:i/>
          <w:sz w:val="22"/>
          <w:szCs w:val="22"/>
        </w:rPr>
        <w:t xml:space="preserve">Bluebird Buses v Mr Piotr </w:t>
      </w:r>
      <w:r w:rsidR="00996411" w:rsidRPr="00AC6DA6">
        <w:rPr>
          <w:rFonts w:ascii="Cambria" w:hAnsi="Cambria" w:cs="Arial"/>
          <w:bCs/>
          <w:sz w:val="22"/>
          <w:szCs w:val="22"/>
        </w:rPr>
        <w:t>Borowicki</w:t>
      </w:r>
      <w:r>
        <w:rPr>
          <w:rFonts w:ascii="Cambria" w:hAnsi="Cambria" w:cs="Arial"/>
          <w:bCs/>
          <w:sz w:val="22"/>
          <w:szCs w:val="22"/>
        </w:rPr>
        <w:t xml:space="preserve"> UKEATS/0009/17/JW, eat</w:t>
      </w:r>
    </w:p>
    <w:p w14:paraId="383BFAA8" w14:textId="62A7FFD3" w:rsidR="005A14A3" w:rsidRPr="00D54E0F" w:rsidRDefault="005A14A3" w:rsidP="00AC6DA6">
      <w:pPr>
        <w:pStyle w:val="BodyTextIndent"/>
        <w:numPr>
          <w:ilvl w:val="0"/>
          <w:numId w:val="26"/>
        </w:numPr>
        <w:jc w:val="both"/>
        <w:rPr>
          <w:rFonts w:ascii="Cambria" w:hAnsi="Cambria" w:cs="Arial"/>
          <w:bCs/>
          <w:sz w:val="22"/>
          <w:szCs w:val="22"/>
        </w:rPr>
      </w:pPr>
      <w:r w:rsidRPr="00AC6DA6">
        <w:rPr>
          <w:rFonts w:ascii="Cambria" w:hAnsi="Cambria" w:cs="Arial"/>
          <w:bCs/>
          <w:sz w:val="22"/>
          <w:szCs w:val="22"/>
        </w:rPr>
        <w:t>Aldridge</w:t>
      </w:r>
      <w:r w:rsidRPr="00337041">
        <w:rPr>
          <w:rFonts w:ascii="Cambria" w:hAnsi="Cambria" w:cs="Arial"/>
          <w:bCs/>
          <w:i/>
          <w:sz w:val="22"/>
          <w:szCs w:val="22"/>
        </w:rPr>
        <w:t xml:space="preserve"> &amp; Others v Amey Services</w:t>
      </w:r>
      <w:r>
        <w:rPr>
          <w:rFonts w:ascii="Cambria" w:hAnsi="Cambria" w:cs="Arial"/>
          <w:bCs/>
          <w:sz w:val="22"/>
          <w:szCs w:val="22"/>
        </w:rPr>
        <w:t xml:space="preserve"> [2016] EAT, test case on multiple historical holiday pay claims.</w:t>
      </w:r>
    </w:p>
    <w:p w14:paraId="700BE11C" w14:textId="77777777" w:rsidR="005A14A3" w:rsidRPr="00D54E0F" w:rsidRDefault="005A14A3" w:rsidP="005A14A3">
      <w:pPr>
        <w:pStyle w:val="BodyTextIndent"/>
        <w:numPr>
          <w:ilvl w:val="0"/>
          <w:numId w:val="26"/>
        </w:numPr>
        <w:jc w:val="both"/>
        <w:rPr>
          <w:rFonts w:ascii="Cambria" w:hAnsi="Cambria" w:cs="Arial"/>
          <w:bCs/>
          <w:sz w:val="22"/>
          <w:szCs w:val="22"/>
        </w:rPr>
      </w:pPr>
      <w:r w:rsidRPr="00D54E0F">
        <w:rPr>
          <w:rFonts w:ascii="Cambria" w:hAnsi="Cambria" w:cs="Arial"/>
          <w:bCs/>
          <w:i/>
          <w:sz w:val="22"/>
          <w:szCs w:val="22"/>
        </w:rPr>
        <w:t>Kidron House v Howie</w:t>
      </w:r>
      <w:r w:rsidRPr="00D54E0F">
        <w:rPr>
          <w:rFonts w:ascii="Cambria" w:hAnsi="Cambria" w:cs="Arial"/>
          <w:bCs/>
          <w:sz w:val="22"/>
          <w:szCs w:val="22"/>
        </w:rPr>
        <w:t xml:space="preserve"> [2014] UKEATS/0030/13/B1, successful</w:t>
      </w:r>
      <w:r>
        <w:rPr>
          <w:rFonts w:ascii="Cambria" w:hAnsi="Cambria" w:cs="Arial"/>
          <w:bCs/>
          <w:sz w:val="22"/>
          <w:szCs w:val="22"/>
        </w:rPr>
        <w:t xml:space="preserve"> appeal in EAT </w:t>
      </w:r>
      <w:r w:rsidRPr="00D54E0F">
        <w:rPr>
          <w:rFonts w:ascii="Cambria" w:hAnsi="Cambria" w:cs="Arial"/>
          <w:bCs/>
          <w:sz w:val="22"/>
          <w:szCs w:val="22"/>
        </w:rPr>
        <w:t>concerning compensation for pregnancy related dismissal.</w:t>
      </w:r>
    </w:p>
    <w:p w14:paraId="12C7E676" w14:textId="77777777" w:rsidR="005A14A3" w:rsidRPr="00D54E0F" w:rsidRDefault="005A14A3" w:rsidP="005A14A3">
      <w:pPr>
        <w:pStyle w:val="BodyTextIndent"/>
        <w:numPr>
          <w:ilvl w:val="0"/>
          <w:numId w:val="26"/>
        </w:numPr>
        <w:jc w:val="both"/>
        <w:rPr>
          <w:rFonts w:ascii="Cambria" w:hAnsi="Cambria" w:cs="Arial"/>
          <w:bCs/>
          <w:sz w:val="22"/>
          <w:szCs w:val="22"/>
        </w:rPr>
      </w:pPr>
      <w:r w:rsidRPr="00D54E0F">
        <w:rPr>
          <w:rFonts w:ascii="Cambria" w:hAnsi="Cambria" w:cs="Arial"/>
          <w:bCs/>
          <w:i/>
          <w:sz w:val="22"/>
          <w:szCs w:val="22"/>
        </w:rPr>
        <w:t>Graham Wallace v Energy Support Management Partnership Limited</w:t>
      </w:r>
      <w:r w:rsidRPr="00D54E0F">
        <w:rPr>
          <w:rFonts w:ascii="Cambria" w:hAnsi="Cambria" w:cs="Arial"/>
          <w:bCs/>
          <w:sz w:val="22"/>
          <w:szCs w:val="22"/>
        </w:rPr>
        <w:t xml:space="preserve"> [2014] UKEATS</w:t>
      </w:r>
      <w:r>
        <w:rPr>
          <w:rFonts w:ascii="Cambria" w:hAnsi="Cambria" w:cs="Arial"/>
          <w:bCs/>
          <w:sz w:val="22"/>
          <w:szCs w:val="22"/>
        </w:rPr>
        <w:t>/0043/13/JW</w:t>
      </w:r>
      <w:r w:rsidRPr="00D54E0F">
        <w:rPr>
          <w:rFonts w:ascii="Cambria" w:hAnsi="Cambria" w:cs="Arial"/>
          <w:bCs/>
          <w:sz w:val="22"/>
          <w:szCs w:val="22"/>
        </w:rPr>
        <w:t xml:space="preserve">, </w:t>
      </w:r>
      <w:r>
        <w:rPr>
          <w:rFonts w:ascii="Cambria" w:hAnsi="Cambria" w:cs="Arial"/>
          <w:bCs/>
          <w:sz w:val="22"/>
          <w:szCs w:val="22"/>
        </w:rPr>
        <w:t xml:space="preserve">successful appeal in EAT concerning interpretation of </w:t>
      </w:r>
      <w:r w:rsidRPr="00D54E0F">
        <w:rPr>
          <w:rFonts w:ascii="Cambria" w:hAnsi="Cambria" w:cs="Arial"/>
          <w:bCs/>
          <w:sz w:val="22"/>
          <w:szCs w:val="22"/>
        </w:rPr>
        <w:t>collective agreement for offshore oil workers in t</w:t>
      </w:r>
      <w:r>
        <w:rPr>
          <w:rFonts w:ascii="Cambria" w:hAnsi="Cambria" w:cs="Arial"/>
          <w:bCs/>
          <w:sz w:val="22"/>
          <w:szCs w:val="22"/>
        </w:rPr>
        <w:t>he North Sea</w:t>
      </w:r>
      <w:r w:rsidRPr="00D54E0F">
        <w:rPr>
          <w:rFonts w:ascii="Cambria" w:hAnsi="Cambria" w:cs="Arial"/>
          <w:bCs/>
          <w:sz w:val="22"/>
          <w:szCs w:val="22"/>
        </w:rPr>
        <w:t>.</w:t>
      </w:r>
    </w:p>
    <w:p w14:paraId="19E0F6F0" w14:textId="77777777" w:rsidR="005A14A3" w:rsidRPr="00D54E0F" w:rsidRDefault="005A14A3" w:rsidP="005A14A3">
      <w:pPr>
        <w:pStyle w:val="BodyTextIndent"/>
        <w:numPr>
          <w:ilvl w:val="0"/>
          <w:numId w:val="26"/>
        </w:numPr>
        <w:jc w:val="both"/>
        <w:rPr>
          <w:rFonts w:ascii="Cambria" w:hAnsi="Cambria" w:cs="Arial"/>
          <w:bCs/>
          <w:sz w:val="22"/>
          <w:szCs w:val="22"/>
        </w:rPr>
      </w:pPr>
      <w:r w:rsidRPr="00D54E0F">
        <w:rPr>
          <w:rFonts w:ascii="Cambria" w:hAnsi="Cambria" w:cs="Arial"/>
          <w:bCs/>
          <w:i/>
          <w:sz w:val="22"/>
          <w:szCs w:val="22"/>
        </w:rPr>
        <w:t xml:space="preserve">Andrew Sneddon v </w:t>
      </w:r>
      <w:proofErr w:type="spellStart"/>
      <w:r w:rsidRPr="00D54E0F">
        <w:rPr>
          <w:rFonts w:ascii="Cambria" w:hAnsi="Cambria" w:cs="Arial"/>
          <w:bCs/>
          <w:i/>
          <w:sz w:val="22"/>
          <w:szCs w:val="22"/>
        </w:rPr>
        <w:t>Carr-Gomm</w:t>
      </w:r>
      <w:proofErr w:type="spellEnd"/>
      <w:r w:rsidRPr="00D54E0F">
        <w:rPr>
          <w:rFonts w:ascii="Cambria" w:hAnsi="Cambria" w:cs="Arial"/>
          <w:bCs/>
          <w:i/>
          <w:sz w:val="22"/>
          <w:szCs w:val="22"/>
        </w:rPr>
        <w:t xml:space="preserve"> Scotland Limited</w:t>
      </w:r>
      <w:r w:rsidRPr="00D54E0F">
        <w:rPr>
          <w:rFonts w:ascii="Cambria" w:hAnsi="Cambria" w:cs="Arial"/>
          <w:bCs/>
          <w:sz w:val="22"/>
          <w:szCs w:val="22"/>
        </w:rPr>
        <w:t xml:space="preserve"> [2012] CSIH 28, [2012] IRLR 820 CA </w:t>
      </w:r>
      <w:r>
        <w:rPr>
          <w:rFonts w:ascii="Cambria" w:hAnsi="Cambria" w:cs="Arial"/>
          <w:bCs/>
          <w:sz w:val="22"/>
          <w:szCs w:val="22"/>
        </w:rPr>
        <w:t xml:space="preserve">successful </w:t>
      </w:r>
      <w:r w:rsidRPr="00D54E0F">
        <w:rPr>
          <w:rFonts w:ascii="Cambria" w:hAnsi="Cambria" w:cs="Arial"/>
          <w:bCs/>
          <w:sz w:val="22"/>
          <w:szCs w:val="22"/>
        </w:rPr>
        <w:t>appe</w:t>
      </w:r>
      <w:r>
        <w:rPr>
          <w:rFonts w:ascii="Cambria" w:hAnsi="Cambria" w:cs="Arial"/>
          <w:bCs/>
          <w:sz w:val="22"/>
          <w:szCs w:val="22"/>
        </w:rPr>
        <w:t xml:space="preserve">al against decision of the EAT concerning </w:t>
      </w:r>
      <w:r w:rsidRPr="00D54E0F">
        <w:rPr>
          <w:rFonts w:ascii="Cambria" w:hAnsi="Cambria" w:cs="Arial"/>
          <w:bCs/>
          <w:sz w:val="22"/>
          <w:szCs w:val="22"/>
        </w:rPr>
        <w:t>unfair dismi</w:t>
      </w:r>
      <w:r>
        <w:rPr>
          <w:rFonts w:ascii="Cambria" w:hAnsi="Cambria" w:cs="Arial"/>
          <w:bCs/>
          <w:sz w:val="22"/>
          <w:szCs w:val="22"/>
        </w:rPr>
        <w:t>ssal and ‘substitution mindset’</w:t>
      </w:r>
      <w:r w:rsidRPr="00D54E0F">
        <w:rPr>
          <w:rFonts w:ascii="Cambria" w:hAnsi="Cambria" w:cs="Arial"/>
          <w:bCs/>
          <w:sz w:val="22"/>
          <w:szCs w:val="22"/>
        </w:rPr>
        <w:t>.</w:t>
      </w:r>
    </w:p>
    <w:p w14:paraId="666E2642" w14:textId="77777777" w:rsidR="005A14A3" w:rsidRPr="00D54E0F" w:rsidRDefault="005A14A3" w:rsidP="005A14A3">
      <w:pPr>
        <w:pStyle w:val="BodyTextIndent"/>
        <w:numPr>
          <w:ilvl w:val="0"/>
          <w:numId w:val="26"/>
        </w:numPr>
        <w:jc w:val="both"/>
        <w:rPr>
          <w:rFonts w:ascii="Cambria" w:hAnsi="Cambria" w:cs="Arial"/>
          <w:bCs/>
          <w:sz w:val="22"/>
          <w:szCs w:val="22"/>
        </w:rPr>
      </w:pPr>
      <w:r w:rsidRPr="00D54E0F">
        <w:rPr>
          <w:rFonts w:ascii="Cambria" w:hAnsi="Cambria" w:cs="Arial"/>
          <w:bCs/>
          <w:sz w:val="22"/>
          <w:szCs w:val="22"/>
        </w:rPr>
        <w:lastRenderedPageBreak/>
        <w:t>Acted on behalf of the Public and Commercial Services Union in July 2012 to defend application by Home Office for interdict in Scotland in recent ‘airport strike before Olympics’ case (parallel litigation in England which ended in settlement on morning of hearing).</w:t>
      </w:r>
    </w:p>
    <w:p w14:paraId="2ABEA059" w14:textId="77777777" w:rsidR="005A14A3" w:rsidRPr="00D54E0F" w:rsidRDefault="005A14A3" w:rsidP="005A14A3">
      <w:pPr>
        <w:pStyle w:val="BodyTextIndent"/>
        <w:numPr>
          <w:ilvl w:val="0"/>
          <w:numId w:val="26"/>
        </w:numPr>
        <w:jc w:val="both"/>
        <w:rPr>
          <w:rFonts w:ascii="Cambria" w:hAnsi="Cambria" w:cs="Arial"/>
          <w:bCs/>
          <w:sz w:val="22"/>
          <w:szCs w:val="22"/>
        </w:rPr>
      </w:pPr>
      <w:r w:rsidRPr="00D54E0F">
        <w:rPr>
          <w:rFonts w:ascii="Cambria" w:hAnsi="Cambria" w:cs="Arial"/>
          <w:bCs/>
          <w:i/>
          <w:sz w:val="22"/>
          <w:szCs w:val="22"/>
        </w:rPr>
        <w:t>Sodexho v Unite and RMT</w:t>
      </w:r>
      <w:r w:rsidRPr="00D54E0F">
        <w:rPr>
          <w:rFonts w:ascii="Cambria" w:hAnsi="Cambria" w:cs="Arial"/>
          <w:bCs/>
          <w:sz w:val="22"/>
          <w:szCs w:val="22"/>
        </w:rPr>
        <w:t xml:space="preserve"> [2012] CSIH, successfully appeared on behalf of Unite and RMT to resist application by employer for interim interdict to prevent strike ballot in a case involving workers on North Sea oil installations.</w:t>
      </w:r>
    </w:p>
    <w:p w14:paraId="6E1A3F29" w14:textId="67B8BF4A" w:rsidR="005A14A3" w:rsidRPr="00D54E0F" w:rsidRDefault="005A14A3" w:rsidP="005A14A3">
      <w:pPr>
        <w:pStyle w:val="BodyTextIndent"/>
        <w:numPr>
          <w:ilvl w:val="0"/>
          <w:numId w:val="26"/>
        </w:numPr>
        <w:jc w:val="both"/>
        <w:rPr>
          <w:rFonts w:ascii="Cambria" w:hAnsi="Cambria" w:cs="Arial"/>
          <w:bCs/>
          <w:sz w:val="22"/>
          <w:szCs w:val="22"/>
        </w:rPr>
      </w:pPr>
      <w:r w:rsidRPr="00D54E0F">
        <w:rPr>
          <w:rFonts w:ascii="Cambria" w:hAnsi="Cambria" w:cs="Arial"/>
          <w:bCs/>
          <w:i/>
          <w:sz w:val="22"/>
          <w:szCs w:val="22"/>
        </w:rPr>
        <w:t>Argyll Coastal Services Ltd v Stirling &amp; Others</w:t>
      </w:r>
      <w:r w:rsidRPr="00D54E0F">
        <w:rPr>
          <w:rFonts w:ascii="Cambria" w:hAnsi="Cambria" w:cs="Arial"/>
          <w:bCs/>
          <w:sz w:val="22"/>
          <w:szCs w:val="22"/>
        </w:rPr>
        <w:t xml:space="preserve"> [2012] UKEATS/0012</w:t>
      </w:r>
      <w:r>
        <w:rPr>
          <w:rFonts w:ascii="Cambria" w:hAnsi="Cambria" w:cs="Arial"/>
          <w:bCs/>
          <w:sz w:val="22"/>
          <w:szCs w:val="22"/>
        </w:rPr>
        <w:t xml:space="preserve">/11/B1, </w:t>
      </w:r>
      <w:r w:rsidRPr="00D54E0F">
        <w:rPr>
          <w:rFonts w:ascii="Cambria" w:hAnsi="Cambria" w:cs="Arial"/>
          <w:bCs/>
          <w:sz w:val="22"/>
          <w:szCs w:val="22"/>
        </w:rPr>
        <w:t>TUPE ‘service provision’ case.</w:t>
      </w:r>
    </w:p>
    <w:p w14:paraId="7FF5F702" w14:textId="77777777" w:rsidR="005A14A3" w:rsidRPr="00D54E0F" w:rsidRDefault="005A14A3" w:rsidP="005A14A3">
      <w:pPr>
        <w:pStyle w:val="BodyTextIndent"/>
        <w:numPr>
          <w:ilvl w:val="0"/>
          <w:numId w:val="26"/>
        </w:numPr>
        <w:jc w:val="both"/>
        <w:rPr>
          <w:rFonts w:ascii="Cambria" w:hAnsi="Cambria" w:cs="Arial"/>
          <w:bCs/>
          <w:sz w:val="22"/>
          <w:szCs w:val="22"/>
        </w:rPr>
      </w:pPr>
      <w:r w:rsidRPr="00D54E0F">
        <w:rPr>
          <w:rFonts w:ascii="Cambria" w:hAnsi="Cambria" w:cs="Arial"/>
          <w:bCs/>
          <w:i/>
          <w:sz w:val="22"/>
          <w:szCs w:val="22"/>
        </w:rPr>
        <w:t>Forrest v Renfrewshire Council</w:t>
      </w:r>
      <w:r w:rsidRPr="00D54E0F">
        <w:rPr>
          <w:rFonts w:ascii="Cambria" w:hAnsi="Cambria" w:cs="Arial"/>
          <w:bCs/>
          <w:sz w:val="22"/>
          <w:szCs w:val="22"/>
        </w:rPr>
        <w:t xml:space="preserve"> [2012] UKEATS (un</w:t>
      </w:r>
      <w:r>
        <w:rPr>
          <w:rFonts w:ascii="Cambria" w:hAnsi="Cambria" w:cs="Arial"/>
          <w:bCs/>
          <w:sz w:val="22"/>
          <w:szCs w:val="22"/>
        </w:rPr>
        <w:t xml:space="preserve">reported), unfair dismissal </w:t>
      </w:r>
      <w:r w:rsidRPr="00D54E0F">
        <w:rPr>
          <w:rFonts w:ascii="Cambria" w:hAnsi="Cambria" w:cs="Arial"/>
          <w:bCs/>
          <w:sz w:val="22"/>
          <w:szCs w:val="22"/>
        </w:rPr>
        <w:t xml:space="preserve">appeal </w:t>
      </w:r>
      <w:r>
        <w:rPr>
          <w:rFonts w:ascii="Cambria" w:hAnsi="Cambria" w:cs="Arial"/>
          <w:bCs/>
          <w:sz w:val="22"/>
          <w:szCs w:val="22"/>
        </w:rPr>
        <w:t>and application for expenses in the EAT</w:t>
      </w:r>
      <w:r w:rsidRPr="00D54E0F">
        <w:rPr>
          <w:rFonts w:ascii="Cambria" w:hAnsi="Cambria" w:cs="Arial"/>
          <w:bCs/>
          <w:sz w:val="22"/>
          <w:szCs w:val="22"/>
        </w:rPr>
        <w:t>.</w:t>
      </w:r>
    </w:p>
    <w:p w14:paraId="1A121651" w14:textId="05D9E5AC" w:rsidR="005A14A3" w:rsidRPr="00F55426" w:rsidRDefault="005A14A3" w:rsidP="005A14A3">
      <w:pPr>
        <w:pStyle w:val="BodyTextIndent"/>
        <w:numPr>
          <w:ilvl w:val="0"/>
          <w:numId w:val="26"/>
        </w:numPr>
        <w:jc w:val="both"/>
        <w:rPr>
          <w:rFonts w:ascii="Cambria" w:hAnsi="Cambria" w:cs="Arial"/>
          <w:bCs/>
          <w:sz w:val="22"/>
          <w:szCs w:val="22"/>
        </w:rPr>
      </w:pPr>
      <w:r w:rsidRPr="00D54E0F">
        <w:rPr>
          <w:rFonts w:ascii="Cambria" w:hAnsi="Cambria" w:cs="Arial"/>
          <w:bCs/>
          <w:i/>
          <w:sz w:val="22"/>
          <w:szCs w:val="22"/>
        </w:rPr>
        <w:t>Paterson v MOD and BAE</w:t>
      </w:r>
      <w:r w:rsidRPr="00D54E0F">
        <w:rPr>
          <w:rFonts w:ascii="Cambria" w:hAnsi="Cambria" w:cs="Arial"/>
          <w:bCs/>
          <w:sz w:val="22"/>
          <w:szCs w:val="22"/>
        </w:rPr>
        <w:t xml:space="preserve"> [2012] UKEATS</w:t>
      </w:r>
      <w:r w:rsidR="00320BD3">
        <w:rPr>
          <w:rFonts w:ascii="Cambria" w:hAnsi="Cambria" w:cs="Arial"/>
          <w:bCs/>
          <w:sz w:val="22"/>
          <w:szCs w:val="22"/>
        </w:rPr>
        <w:t>/0003/12/BI</w:t>
      </w:r>
      <w:r w:rsidRPr="00D54E0F">
        <w:rPr>
          <w:rFonts w:ascii="Cambria" w:hAnsi="Cambria" w:cs="Arial"/>
          <w:bCs/>
          <w:sz w:val="22"/>
          <w:szCs w:val="22"/>
        </w:rPr>
        <w:t xml:space="preserve">, </w:t>
      </w:r>
      <w:r>
        <w:rPr>
          <w:rFonts w:ascii="Cambria" w:hAnsi="Cambria" w:cs="Arial"/>
          <w:bCs/>
          <w:sz w:val="22"/>
          <w:szCs w:val="22"/>
        </w:rPr>
        <w:t xml:space="preserve">TUPE ‘service provision’ appeal concerning transfer of activities at RAF </w:t>
      </w:r>
      <w:proofErr w:type="spellStart"/>
      <w:r>
        <w:rPr>
          <w:rFonts w:ascii="Cambria" w:hAnsi="Cambria" w:cs="Arial"/>
          <w:bCs/>
          <w:sz w:val="22"/>
          <w:szCs w:val="22"/>
        </w:rPr>
        <w:t>Leuchars</w:t>
      </w:r>
      <w:proofErr w:type="spellEnd"/>
      <w:r w:rsidRPr="00D54E0F">
        <w:rPr>
          <w:rFonts w:ascii="Cambria" w:hAnsi="Cambria" w:cs="Arial"/>
          <w:bCs/>
          <w:sz w:val="22"/>
          <w:szCs w:val="22"/>
        </w:rPr>
        <w:t>.</w:t>
      </w:r>
    </w:p>
    <w:p w14:paraId="6F1C15F4" w14:textId="77777777" w:rsidR="00D854E1" w:rsidRDefault="00D854E1" w:rsidP="00D854E1">
      <w:pPr>
        <w:pStyle w:val="BodyTextIndent"/>
        <w:ind w:left="0"/>
        <w:jc w:val="center"/>
        <w:rPr>
          <w:rFonts w:ascii="Cambria" w:hAnsi="Cambria" w:cs="Arial"/>
          <w:bCs/>
          <w:sz w:val="22"/>
          <w:szCs w:val="22"/>
          <w:u w:val="single"/>
        </w:rPr>
      </w:pPr>
    </w:p>
    <w:p w14:paraId="578140BA" w14:textId="77777777" w:rsidR="00D854E1" w:rsidRDefault="00D854E1" w:rsidP="00D854E1">
      <w:pPr>
        <w:pStyle w:val="BodyTextIndent"/>
        <w:ind w:left="0"/>
        <w:jc w:val="center"/>
        <w:rPr>
          <w:rFonts w:ascii="Cambria" w:hAnsi="Cambria" w:cs="Arial"/>
          <w:bCs/>
          <w:sz w:val="22"/>
          <w:szCs w:val="22"/>
          <w:u w:val="single"/>
        </w:rPr>
      </w:pPr>
    </w:p>
    <w:p w14:paraId="7D533A49" w14:textId="2A4C9873" w:rsidR="00E90CAA" w:rsidRPr="00D54E0F" w:rsidRDefault="00E90CAA" w:rsidP="00D854E1">
      <w:pPr>
        <w:pStyle w:val="BodyTextIndent"/>
        <w:ind w:left="0"/>
        <w:jc w:val="center"/>
        <w:rPr>
          <w:rFonts w:ascii="Cambria" w:hAnsi="Cambria" w:cs="Arial"/>
          <w:bCs/>
          <w:sz w:val="22"/>
          <w:szCs w:val="22"/>
        </w:rPr>
      </w:pPr>
      <w:r>
        <w:rPr>
          <w:rFonts w:ascii="Cambria" w:hAnsi="Cambria" w:cs="Arial"/>
          <w:bCs/>
          <w:sz w:val="22"/>
          <w:szCs w:val="22"/>
          <w:u w:val="single"/>
        </w:rPr>
        <w:t xml:space="preserve">Public/Administrative </w:t>
      </w:r>
      <w:r w:rsidRPr="00D54E0F">
        <w:rPr>
          <w:rFonts w:ascii="Cambria" w:hAnsi="Cambria" w:cs="Arial"/>
          <w:bCs/>
          <w:sz w:val="22"/>
          <w:szCs w:val="22"/>
          <w:u w:val="single"/>
        </w:rPr>
        <w:t>Law</w:t>
      </w:r>
      <w:r>
        <w:rPr>
          <w:rFonts w:ascii="Cambria" w:hAnsi="Cambria" w:cs="Arial"/>
          <w:bCs/>
          <w:sz w:val="22"/>
          <w:szCs w:val="22"/>
          <w:u w:val="single"/>
        </w:rPr>
        <w:t xml:space="preserve"> and Human Rights</w:t>
      </w:r>
    </w:p>
    <w:p w14:paraId="77D1C32E" w14:textId="77777777" w:rsidR="00D854E1" w:rsidRDefault="00D854E1" w:rsidP="00D854E1">
      <w:pPr>
        <w:pStyle w:val="BodyTextIndent"/>
        <w:ind w:left="0"/>
        <w:jc w:val="both"/>
        <w:rPr>
          <w:rFonts w:ascii="Cambria" w:hAnsi="Cambria" w:cs="Arial"/>
          <w:bCs/>
          <w:sz w:val="22"/>
          <w:szCs w:val="22"/>
        </w:rPr>
      </w:pPr>
    </w:p>
    <w:p w14:paraId="683AFEBB" w14:textId="77777777" w:rsidR="00D854E1" w:rsidRDefault="00D854E1" w:rsidP="00D854E1">
      <w:pPr>
        <w:pStyle w:val="BodyTextIndent"/>
        <w:ind w:left="0"/>
        <w:jc w:val="both"/>
        <w:rPr>
          <w:rFonts w:ascii="Cambria" w:hAnsi="Cambria" w:cs="Arial"/>
          <w:bCs/>
          <w:sz w:val="22"/>
          <w:szCs w:val="22"/>
        </w:rPr>
      </w:pPr>
    </w:p>
    <w:p w14:paraId="1F09E081" w14:textId="149D0E51" w:rsidR="00E90CAA" w:rsidRDefault="00E90CAA" w:rsidP="00D854E1">
      <w:pPr>
        <w:pStyle w:val="BodyTextIndent"/>
        <w:ind w:left="0"/>
        <w:jc w:val="both"/>
        <w:rPr>
          <w:rFonts w:ascii="Cambria" w:hAnsi="Cambria" w:cs="Arial"/>
          <w:bCs/>
          <w:sz w:val="22"/>
          <w:szCs w:val="22"/>
        </w:rPr>
      </w:pPr>
      <w:r>
        <w:rPr>
          <w:rFonts w:ascii="Cambria" w:hAnsi="Cambria" w:cs="Arial"/>
          <w:bCs/>
          <w:sz w:val="22"/>
          <w:szCs w:val="22"/>
        </w:rPr>
        <w:t xml:space="preserve">I am regularly instructed in </w:t>
      </w:r>
      <w:r w:rsidRPr="00D54E0F">
        <w:rPr>
          <w:rFonts w:ascii="Cambria" w:hAnsi="Cambria" w:cs="Arial"/>
          <w:bCs/>
          <w:sz w:val="22"/>
          <w:szCs w:val="22"/>
        </w:rPr>
        <w:t>petitions for judicial review and statutory appeals often raising matters of European Law and Human Rights Law.  I have been instructed in a wide range of</w:t>
      </w:r>
      <w:r w:rsidR="00264291">
        <w:rPr>
          <w:rFonts w:ascii="Cambria" w:hAnsi="Cambria" w:cs="Arial"/>
          <w:bCs/>
          <w:sz w:val="22"/>
          <w:szCs w:val="22"/>
        </w:rPr>
        <w:t xml:space="preserve"> matters including immigration</w:t>
      </w:r>
      <w:r w:rsidR="00337041">
        <w:rPr>
          <w:rFonts w:ascii="Cambria" w:hAnsi="Cambria" w:cs="Arial"/>
          <w:bCs/>
          <w:sz w:val="22"/>
          <w:szCs w:val="22"/>
        </w:rPr>
        <w:t xml:space="preserve">, </w:t>
      </w:r>
      <w:r w:rsidRPr="00D54E0F">
        <w:rPr>
          <w:rFonts w:ascii="Cambria" w:hAnsi="Cambria" w:cs="Arial"/>
          <w:bCs/>
          <w:sz w:val="22"/>
          <w:szCs w:val="22"/>
        </w:rPr>
        <w:t>ed</w:t>
      </w:r>
      <w:r>
        <w:rPr>
          <w:rFonts w:ascii="Cambria" w:hAnsi="Cambria" w:cs="Arial"/>
          <w:bCs/>
          <w:sz w:val="22"/>
          <w:szCs w:val="22"/>
        </w:rPr>
        <w:t xml:space="preserve">ucation, public procurement and </w:t>
      </w:r>
      <w:r w:rsidRPr="00D54E0F">
        <w:rPr>
          <w:rFonts w:ascii="Cambria" w:hAnsi="Cambria" w:cs="Arial"/>
          <w:bCs/>
          <w:sz w:val="22"/>
          <w:szCs w:val="22"/>
        </w:rPr>
        <w:t>competition law</w:t>
      </w:r>
      <w:r>
        <w:rPr>
          <w:rFonts w:ascii="Cambria" w:hAnsi="Cambria" w:cs="Arial"/>
          <w:bCs/>
          <w:sz w:val="22"/>
          <w:szCs w:val="22"/>
        </w:rPr>
        <w:t xml:space="preserve">, and </w:t>
      </w:r>
      <w:r w:rsidRPr="00D54E0F">
        <w:rPr>
          <w:rFonts w:ascii="Cambria" w:hAnsi="Cambria" w:cs="Arial"/>
          <w:bCs/>
          <w:sz w:val="22"/>
          <w:szCs w:val="22"/>
        </w:rPr>
        <w:t xml:space="preserve">regulatory </w:t>
      </w:r>
      <w:r>
        <w:rPr>
          <w:rFonts w:ascii="Cambria" w:hAnsi="Cambria" w:cs="Arial"/>
          <w:bCs/>
          <w:sz w:val="22"/>
          <w:szCs w:val="22"/>
        </w:rPr>
        <w:t>and disciplinary proceedings</w:t>
      </w:r>
      <w:r w:rsidRPr="00D54E0F">
        <w:rPr>
          <w:rFonts w:ascii="Cambria" w:hAnsi="Cambria" w:cs="Arial"/>
          <w:bCs/>
          <w:sz w:val="22"/>
          <w:szCs w:val="22"/>
        </w:rPr>
        <w:t xml:space="preserve">.  </w:t>
      </w:r>
      <w:r w:rsidR="00755B41">
        <w:rPr>
          <w:rFonts w:ascii="Cambria" w:hAnsi="Cambria" w:cs="Arial"/>
          <w:bCs/>
          <w:sz w:val="22"/>
          <w:szCs w:val="22"/>
        </w:rPr>
        <w:t xml:space="preserve">I have recently been appointed as a Standing Junior Counsel to the Scottish Ministers </w:t>
      </w:r>
      <w:r w:rsidR="00996411">
        <w:rPr>
          <w:rFonts w:ascii="Cambria" w:hAnsi="Cambria" w:cs="Arial"/>
          <w:bCs/>
          <w:sz w:val="22"/>
          <w:szCs w:val="22"/>
        </w:rPr>
        <w:t>and can be instructed by the Scottish Government.</w:t>
      </w:r>
      <w:r w:rsidR="00755B41">
        <w:rPr>
          <w:rFonts w:ascii="Cambria" w:hAnsi="Cambria" w:cs="Arial"/>
          <w:bCs/>
          <w:sz w:val="22"/>
          <w:szCs w:val="22"/>
        </w:rPr>
        <w:t xml:space="preserve"> </w:t>
      </w:r>
      <w:r w:rsidRPr="00D54E0F">
        <w:rPr>
          <w:rFonts w:ascii="Cambria" w:hAnsi="Cambria" w:cs="Arial"/>
          <w:bCs/>
          <w:sz w:val="22"/>
          <w:szCs w:val="22"/>
        </w:rPr>
        <w:t>My recent reported cases include:</w:t>
      </w:r>
    </w:p>
    <w:p w14:paraId="19433860" w14:textId="77777777" w:rsidR="001F324E" w:rsidRDefault="001F324E" w:rsidP="00E90CAA">
      <w:pPr>
        <w:pStyle w:val="BodyTextIndent"/>
        <w:jc w:val="both"/>
        <w:rPr>
          <w:rFonts w:ascii="Cambria" w:hAnsi="Cambria" w:cs="Arial"/>
          <w:bCs/>
          <w:sz w:val="22"/>
          <w:szCs w:val="22"/>
        </w:rPr>
      </w:pPr>
    </w:p>
    <w:p w14:paraId="3B8F136C" w14:textId="7AE8F71D" w:rsidR="00A13B52" w:rsidRPr="00A13B52" w:rsidRDefault="00A13B52" w:rsidP="006A548A">
      <w:pPr>
        <w:pStyle w:val="BodyTextIndent"/>
        <w:numPr>
          <w:ilvl w:val="0"/>
          <w:numId w:val="29"/>
        </w:numPr>
        <w:jc w:val="both"/>
        <w:rPr>
          <w:rFonts w:ascii="Cambria" w:hAnsi="Cambria" w:cs="Arial"/>
          <w:bCs/>
          <w:sz w:val="22"/>
          <w:szCs w:val="22"/>
        </w:rPr>
      </w:pPr>
      <w:r w:rsidRPr="00A13B52">
        <w:rPr>
          <w:rFonts w:ascii="Cambria" w:hAnsi="Cambria" w:cs="Arial"/>
          <w:bCs/>
          <w:i/>
          <w:sz w:val="22"/>
          <w:szCs w:val="22"/>
        </w:rPr>
        <w:t>Dryburgh v NHS Fife</w:t>
      </w:r>
      <w:r>
        <w:rPr>
          <w:rFonts w:ascii="Cambria" w:hAnsi="Cambria" w:cs="Arial"/>
          <w:bCs/>
          <w:sz w:val="22"/>
          <w:szCs w:val="22"/>
        </w:rPr>
        <w:t xml:space="preserve"> [2016] CSOH 116, petition for judicial review raising issues of Article 6 ECHR and scope of reviewable decisions in Scots law.</w:t>
      </w:r>
    </w:p>
    <w:p w14:paraId="25B4E5E6" w14:textId="127EE9D5" w:rsidR="00704467" w:rsidRPr="00D54E0F" w:rsidRDefault="006A548A" w:rsidP="006A548A">
      <w:pPr>
        <w:pStyle w:val="BodyTextIndent"/>
        <w:numPr>
          <w:ilvl w:val="0"/>
          <w:numId w:val="29"/>
        </w:numPr>
        <w:jc w:val="both"/>
        <w:rPr>
          <w:rFonts w:ascii="Cambria" w:hAnsi="Cambria" w:cs="Arial"/>
          <w:bCs/>
          <w:sz w:val="22"/>
          <w:szCs w:val="22"/>
        </w:rPr>
      </w:pPr>
      <w:r w:rsidRPr="006A548A">
        <w:rPr>
          <w:rFonts w:ascii="Cambria" w:hAnsi="Cambria" w:cs="Arial"/>
          <w:bCs/>
          <w:i/>
          <w:sz w:val="22"/>
          <w:szCs w:val="22"/>
        </w:rPr>
        <w:t>Petition of MASH Holdings Ltd v The Scottish Football Association and Mr Dave King</w:t>
      </w:r>
      <w:r>
        <w:rPr>
          <w:rFonts w:ascii="Cambria" w:hAnsi="Cambria" w:cs="Arial"/>
          <w:bCs/>
          <w:sz w:val="22"/>
          <w:szCs w:val="22"/>
        </w:rPr>
        <w:t xml:space="preserve"> [2016] CSOH 86</w:t>
      </w:r>
      <w:r w:rsidR="00337041">
        <w:rPr>
          <w:rFonts w:ascii="Cambria" w:hAnsi="Cambria" w:cs="Arial"/>
          <w:bCs/>
          <w:sz w:val="22"/>
          <w:szCs w:val="22"/>
        </w:rPr>
        <w:t>, successfully represented</w:t>
      </w:r>
      <w:r w:rsidR="00AC6DA6">
        <w:rPr>
          <w:rFonts w:ascii="Cambria" w:hAnsi="Cambria" w:cs="Arial"/>
          <w:bCs/>
          <w:sz w:val="22"/>
          <w:szCs w:val="22"/>
        </w:rPr>
        <w:t xml:space="preserve"> Dave </w:t>
      </w:r>
      <w:r w:rsidR="00337041">
        <w:rPr>
          <w:rFonts w:ascii="Cambria" w:hAnsi="Cambria" w:cs="Arial"/>
          <w:bCs/>
          <w:sz w:val="22"/>
          <w:szCs w:val="22"/>
        </w:rPr>
        <w:t>King in petition for judicial review brought by MASH Holdings Ltd.</w:t>
      </w:r>
    </w:p>
    <w:p w14:paraId="58F67F1E" w14:textId="03A7E1ED" w:rsidR="00E90CAA" w:rsidRPr="00D54E0F" w:rsidRDefault="00E90CAA" w:rsidP="00E90CAA">
      <w:pPr>
        <w:pStyle w:val="BodyTextIndent"/>
        <w:numPr>
          <w:ilvl w:val="0"/>
          <w:numId w:val="27"/>
        </w:numPr>
        <w:jc w:val="both"/>
        <w:rPr>
          <w:rFonts w:ascii="Cambria" w:hAnsi="Cambria" w:cs="Arial"/>
          <w:bCs/>
          <w:sz w:val="22"/>
          <w:szCs w:val="22"/>
        </w:rPr>
      </w:pPr>
      <w:r w:rsidRPr="00D54E0F">
        <w:rPr>
          <w:rFonts w:ascii="Cambria" w:hAnsi="Cambria" w:cs="Arial"/>
          <w:bCs/>
          <w:i/>
          <w:sz w:val="22"/>
          <w:szCs w:val="22"/>
        </w:rPr>
        <w:t>Sturridge v General Teaching Council for Scotland</w:t>
      </w:r>
      <w:r>
        <w:rPr>
          <w:rFonts w:ascii="Cambria" w:hAnsi="Cambria" w:cs="Arial"/>
          <w:bCs/>
          <w:sz w:val="22"/>
          <w:szCs w:val="22"/>
        </w:rPr>
        <w:t xml:space="preserve">, [2014] </w:t>
      </w:r>
      <w:r w:rsidR="006D7D87">
        <w:rPr>
          <w:rFonts w:ascii="Cambria" w:hAnsi="Cambria" w:cs="Arial"/>
          <w:bCs/>
          <w:sz w:val="22"/>
          <w:szCs w:val="22"/>
        </w:rPr>
        <w:t>S.C. 478</w:t>
      </w:r>
      <w:r>
        <w:rPr>
          <w:rFonts w:ascii="Cambria" w:hAnsi="Cambria" w:cs="Arial"/>
          <w:bCs/>
          <w:sz w:val="22"/>
          <w:szCs w:val="22"/>
        </w:rPr>
        <w:t xml:space="preserve">, successful statutory appeal </w:t>
      </w:r>
      <w:r w:rsidRPr="00D54E0F">
        <w:rPr>
          <w:rFonts w:ascii="Cambria" w:hAnsi="Cambria" w:cs="Arial"/>
          <w:bCs/>
          <w:sz w:val="22"/>
          <w:szCs w:val="22"/>
        </w:rPr>
        <w:t>against refusal by the regulatory body to permit him to teach in Scotland.  Widely reported in the press as a ‘landmark’ decision that led directly to change in practices of the regulatory body.</w:t>
      </w:r>
    </w:p>
    <w:p w14:paraId="03777BF7" w14:textId="6A2DB2C6" w:rsidR="00E90CAA" w:rsidRPr="00D54E0F" w:rsidRDefault="00E90CAA" w:rsidP="00E90CAA">
      <w:pPr>
        <w:pStyle w:val="BodyTextIndent"/>
        <w:numPr>
          <w:ilvl w:val="0"/>
          <w:numId w:val="27"/>
        </w:numPr>
        <w:jc w:val="both"/>
        <w:rPr>
          <w:rFonts w:ascii="Cambria" w:hAnsi="Cambria" w:cs="Arial"/>
          <w:bCs/>
          <w:sz w:val="22"/>
          <w:szCs w:val="22"/>
        </w:rPr>
      </w:pPr>
      <w:r w:rsidRPr="00D54E0F">
        <w:rPr>
          <w:rFonts w:ascii="Cambria" w:hAnsi="Cambria" w:cs="Arial"/>
          <w:bCs/>
          <w:i/>
          <w:sz w:val="22"/>
          <w:szCs w:val="22"/>
        </w:rPr>
        <w:t>Fox Solicitors Limited v Advocate General for Scotland</w:t>
      </w:r>
      <w:r w:rsidRPr="00D54E0F">
        <w:rPr>
          <w:rFonts w:ascii="Cambria" w:hAnsi="Cambria" w:cs="Arial"/>
          <w:bCs/>
          <w:sz w:val="22"/>
          <w:szCs w:val="22"/>
        </w:rPr>
        <w:t xml:space="preserve"> [2013] CSOH 133, instructed by the Equality and Human Rights Commission in a challenge against the legality of the introduction of fees for employment tribunals.</w:t>
      </w:r>
    </w:p>
    <w:p w14:paraId="19DB72F2" w14:textId="77777777" w:rsidR="00E90CAA" w:rsidRPr="00D54E0F" w:rsidRDefault="00E90CAA" w:rsidP="00E90CAA">
      <w:pPr>
        <w:pStyle w:val="BodyTextIndent"/>
        <w:numPr>
          <w:ilvl w:val="0"/>
          <w:numId w:val="27"/>
        </w:numPr>
        <w:jc w:val="both"/>
        <w:rPr>
          <w:rFonts w:ascii="Cambria" w:hAnsi="Cambria" w:cs="Arial"/>
          <w:bCs/>
          <w:sz w:val="22"/>
          <w:szCs w:val="22"/>
        </w:rPr>
      </w:pPr>
      <w:r w:rsidRPr="00D54E0F">
        <w:rPr>
          <w:rFonts w:ascii="Cambria" w:hAnsi="Cambria" w:cs="Arial"/>
          <w:bCs/>
          <w:sz w:val="22"/>
          <w:szCs w:val="22"/>
        </w:rPr>
        <w:t xml:space="preserve"> </w:t>
      </w:r>
      <w:r w:rsidRPr="00D54E0F">
        <w:rPr>
          <w:rFonts w:ascii="Cambria" w:hAnsi="Cambria" w:cs="Arial"/>
          <w:bCs/>
          <w:i/>
          <w:sz w:val="22"/>
          <w:szCs w:val="22"/>
        </w:rPr>
        <w:t>TN (Petitioner)</w:t>
      </w:r>
      <w:r w:rsidRPr="00D54E0F">
        <w:rPr>
          <w:rFonts w:ascii="Cambria" w:hAnsi="Cambria" w:cs="Arial"/>
          <w:bCs/>
          <w:sz w:val="22"/>
          <w:szCs w:val="22"/>
        </w:rPr>
        <w:t xml:space="preserve"> [2014] CSOH 85, success</w:t>
      </w:r>
      <w:r>
        <w:rPr>
          <w:rFonts w:ascii="Cambria" w:hAnsi="Cambria" w:cs="Arial"/>
          <w:bCs/>
          <w:sz w:val="22"/>
          <w:szCs w:val="22"/>
        </w:rPr>
        <w:t xml:space="preserve">ful </w:t>
      </w:r>
      <w:r w:rsidRPr="00D54E0F">
        <w:rPr>
          <w:rFonts w:ascii="Cambria" w:hAnsi="Cambria" w:cs="Arial"/>
          <w:bCs/>
          <w:sz w:val="22"/>
          <w:szCs w:val="22"/>
        </w:rPr>
        <w:t>challenge against a decision of the Secretary of State depriving him of a right of appeal.</w:t>
      </w:r>
    </w:p>
    <w:p w14:paraId="12D57AF2" w14:textId="77777777" w:rsidR="00E90CAA" w:rsidRDefault="00E90CAA" w:rsidP="00E90CAA">
      <w:pPr>
        <w:pStyle w:val="BodyTextIndent"/>
        <w:numPr>
          <w:ilvl w:val="0"/>
          <w:numId w:val="27"/>
        </w:numPr>
        <w:jc w:val="both"/>
        <w:rPr>
          <w:rFonts w:ascii="Cambria" w:hAnsi="Cambria" w:cs="Arial"/>
          <w:bCs/>
          <w:sz w:val="22"/>
          <w:szCs w:val="22"/>
        </w:rPr>
      </w:pPr>
      <w:r w:rsidRPr="00D54E0F">
        <w:rPr>
          <w:rFonts w:ascii="Cambria" w:hAnsi="Cambria" w:cs="Arial"/>
          <w:bCs/>
          <w:i/>
          <w:sz w:val="22"/>
          <w:szCs w:val="22"/>
        </w:rPr>
        <w:t>JN (India) v Secretary of State for the Home Department</w:t>
      </w:r>
      <w:r w:rsidRPr="00D54E0F">
        <w:rPr>
          <w:rFonts w:ascii="Cambria" w:hAnsi="Cambria" w:cs="Arial"/>
          <w:bCs/>
          <w:sz w:val="22"/>
          <w:szCs w:val="22"/>
        </w:rPr>
        <w:t xml:space="preserve"> [2014] CSOH 49, represented teacher of traditional Indian dance and culture against </w:t>
      </w:r>
      <w:r>
        <w:rPr>
          <w:rFonts w:ascii="Cambria" w:hAnsi="Cambria" w:cs="Arial"/>
          <w:bCs/>
          <w:sz w:val="22"/>
          <w:szCs w:val="22"/>
        </w:rPr>
        <w:t>refusal of a visa application.</w:t>
      </w:r>
    </w:p>
    <w:p w14:paraId="22DA3EE7" w14:textId="77777777" w:rsidR="00E90CAA" w:rsidRPr="00D54E0F" w:rsidRDefault="00E90CAA" w:rsidP="00E90CAA">
      <w:pPr>
        <w:pStyle w:val="BodyTextIndent"/>
        <w:numPr>
          <w:ilvl w:val="0"/>
          <w:numId w:val="27"/>
        </w:numPr>
        <w:jc w:val="both"/>
        <w:rPr>
          <w:rFonts w:ascii="Cambria" w:hAnsi="Cambria" w:cs="Arial"/>
          <w:bCs/>
          <w:sz w:val="22"/>
          <w:szCs w:val="22"/>
        </w:rPr>
      </w:pPr>
      <w:r>
        <w:rPr>
          <w:rFonts w:ascii="Cambria" w:hAnsi="Cambria" w:cs="Arial"/>
          <w:bCs/>
          <w:i/>
          <w:sz w:val="22"/>
          <w:szCs w:val="22"/>
        </w:rPr>
        <w:t>MBR v Secretary of State for the Home Department</w:t>
      </w:r>
      <w:r>
        <w:rPr>
          <w:rFonts w:ascii="Cambria" w:hAnsi="Cambria" w:cs="Arial"/>
          <w:bCs/>
          <w:sz w:val="22"/>
          <w:szCs w:val="22"/>
        </w:rPr>
        <w:t xml:space="preserve"> [2013] CSIH 66, ‘test case’ raising important issues as to the quorum for a Division in the Inner House of the Court of Session.</w:t>
      </w:r>
    </w:p>
    <w:p w14:paraId="29ABE51B" w14:textId="493857A5" w:rsidR="00E90CAA" w:rsidRPr="00D54E0F" w:rsidRDefault="00E90CAA" w:rsidP="00E90CAA">
      <w:pPr>
        <w:pStyle w:val="BodyTextIndent"/>
        <w:numPr>
          <w:ilvl w:val="0"/>
          <w:numId w:val="27"/>
        </w:numPr>
        <w:jc w:val="both"/>
        <w:rPr>
          <w:rFonts w:ascii="Cambria" w:hAnsi="Cambria" w:cs="Arial"/>
          <w:bCs/>
          <w:sz w:val="22"/>
          <w:szCs w:val="22"/>
        </w:rPr>
      </w:pPr>
      <w:r w:rsidRPr="00D54E0F">
        <w:rPr>
          <w:rFonts w:ascii="Cambria" w:hAnsi="Cambria" w:cs="Arial"/>
          <w:bCs/>
          <w:i/>
          <w:sz w:val="22"/>
          <w:szCs w:val="22"/>
        </w:rPr>
        <w:t>OWA (United States) v Secretary of State for the Home Department</w:t>
      </w:r>
      <w:r w:rsidRPr="00D54E0F">
        <w:rPr>
          <w:rFonts w:ascii="Cambria" w:hAnsi="Cambria" w:cs="Arial"/>
          <w:bCs/>
          <w:sz w:val="22"/>
          <w:szCs w:val="22"/>
        </w:rPr>
        <w:t xml:space="preserve"> [2013] CSOH 52, successfully represented a citizen of the USA in challenge against a decision refusing entry to the United Kingdom.</w:t>
      </w:r>
    </w:p>
    <w:p w14:paraId="428117B2" w14:textId="77777777" w:rsidR="00E90CAA" w:rsidRPr="00D54E0F" w:rsidRDefault="00E90CAA" w:rsidP="00E90CAA">
      <w:pPr>
        <w:pStyle w:val="BodyTextIndent"/>
        <w:numPr>
          <w:ilvl w:val="0"/>
          <w:numId w:val="27"/>
        </w:numPr>
        <w:jc w:val="both"/>
        <w:rPr>
          <w:rFonts w:ascii="Cambria" w:hAnsi="Cambria" w:cs="Arial"/>
          <w:bCs/>
          <w:sz w:val="22"/>
          <w:szCs w:val="22"/>
        </w:rPr>
      </w:pPr>
      <w:r w:rsidRPr="00D54E0F">
        <w:rPr>
          <w:rFonts w:ascii="Cambria" w:hAnsi="Cambria" w:cs="Arial"/>
          <w:bCs/>
          <w:i/>
          <w:sz w:val="22"/>
          <w:szCs w:val="22"/>
        </w:rPr>
        <w:t>L v Angus Council</w:t>
      </w:r>
      <w:r w:rsidRPr="00D54E0F">
        <w:rPr>
          <w:rFonts w:ascii="Cambria" w:hAnsi="Cambria" w:cs="Arial"/>
          <w:bCs/>
          <w:sz w:val="22"/>
          <w:szCs w:val="22"/>
        </w:rPr>
        <w:t xml:space="preserve"> 2011 S.L.T. 853, and </w:t>
      </w:r>
      <w:r w:rsidRPr="00D54E0F">
        <w:rPr>
          <w:rFonts w:ascii="Cambria" w:hAnsi="Cambria" w:cs="Arial"/>
          <w:bCs/>
          <w:i/>
          <w:sz w:val="22"/>
          <w:szCs w:val="22"/>
        </w:rPr>
        <w:t>TL [Assisted Person] No 2</w:t>
      </w:r>
      <w:r w:rsidRPr="00D54E0F">
        <w:rPr>
          <w:rFonts w:ascii="Cambria" w:hAnsi="Cambria" w:cs="Arial"/>
          <w:bCs/>
          <w:sz w:val="22"/>
          <w:szCs w:val="22"/>
        </w:rPr>
        <w:t xml:space="preserve"> [2011] CSOH 196.  Represented applicant in the first reported ‘age assessment’ case in Scotland.</w:t>
      </w:r>
    </w:p>
    <w:p w14:paraId="6D76EE2A" w14:textId="77777777" w:rsidR="00E90CAA" w:rsidRPr="00D54E0F" w:rsidRDefault="00E90CAA" w:rsidP="00E90CAA">
      <w:pPr>
        <w:pStyle w:val="BodyTextIndent"/>
        <w:numPr>
          <w:ilvl w:val="0"/>
          <w:numId w:val="27"/>
        </w:numPr>
        <w:jc w:val="both"/>
        <w:rPr>
          <w:rFonts w:ascii="Cambria" w:hAnsi="Cambria" w:cs="Arial"/>
          <w:bCs/>
          <w:sz w:val="22"/>
          <w:szCs w:val="22"/>
        </w:rPr>
      </w:pPr>
      <w:r w:rsidRPr="00D54E0F">
        <w:rPr>
          <w:rFonts w:ascii="Cambria" w:hAnsi="Cambria"/>
          <w:i/>
          <w:sz w:val="22"/>
          <w:szCs w:val="22"/>
        </w:rPr>
        <w:t>RA (AP)</w:t>
      </w:r>
      <w:r w:rsidRPr="00D54E0F">
        <w:rPr>
          <w:rFonts w:ascii="Cambria" w:hAnsi="Cambria"/>
          <w:sz w:val="22"/>
          <w:szCs w:val="22"/>
        </w:rPr>
        <w:t xml:space="preserve"> [2011] CSOH 42. Successfully represented petitioner in a matter concerning the right to private and family life under Article 8 ECHR.</w:t>
      </w:r>
    </w:p>
    <w:p w14:paraId="069BADAF" w14:textId="7EA6E52F" w:rsidR="00E90CAA" w:rsidRPr="00D54E0F" w:rsidRDefault="00E90CAA" w:rsidP="00E90CAA">
      <w:pPr>
        <w:pStyle w:val="BodyTextIndent"/>
        <w:numPr>
          <w:ilvl w:val="0"/>
          <w:numId w:val="27"/>
        </w:numPr>
        <w:jc w:val="both"/>
        <w:rPr>
          <w:rFonts w:ascii="Cambria" w:hAnsi="Cambria" w:cs="Arial"/>
          <w:bCs/>
          <w:sz w:val="22"/>
          <w:szCs w:val="22"/>
        </w:rPr>
      </w:pPr>
      <w:r w:rsidRPr="00D54E0F">
        <w:rPr>
          <w:rFonts w:ascii="Cambria" w:hAnsi="Cambria"/>
          <w:i/>
          <w:sz w:val="22"/>
          <w:szCs w:val="22"/>
        </w:rPr>
        <w:t>MO (Assisted Person)</w:t>
      </w:r>
      <w:r w:rsidRPr="00D54E0F">
        <w:rPr>
          <w:rFonts w:ascii="Cambria" w:hAnsi="Cambria"/>
          <w:sz w:val="22"/>
          <w:szCs w:val="22"/>
        </w:rPr>
        <w:t xml:space="preserve"> [2012] CSIH 20, successfully represented Respondent in reclaiming motion by the Secretary of State.</w:t>
      </w:r>
    </w:p>
    <w:p w14:paraId="1D62BFC2" w14:textId="77777777" w:rsidR="00E90CAA" w:rsidRPr="00D54E0F" w:rsidRDefault="00E90CAA" w:rsidP="00E90CAA">
      <w:pPr>
        <w:pStyle w:val="BodyTextIndent"/>
        <w:numPr>
          <w:ilvl w:val="0"/>
          <w:numId w:val="27"/>
        </w:numPr>
        <w:jc w:val="both"/>
        <w:rPr>
          <w:rFonts w:ascii="Cambria" w:hAnsi="Cambria" w:cs="Arial"/>
          <w:bCs/>
          <w:sz w:val="22"/>
          <w:szCs w:val="22"/>
        </w:rPr>
      </w:pPr>
      <w:r w:rsidRPr="00D54E0F">
        <w:rPr>
          <w:rFonts w:ascii="Cambria" w:hAnsi="Cambria"/>
          <w:i/>
          <w:sz w:val="22"/>
          <w:szCs w:val="22"/>
        </w:rPr>
        <w:t>AKA (Petitioner</w:t>
      </w:r>
      <w:r w:rsidRPr="00D54E0F">
        <w:rPr>
          <w:rFonts w:ascii="Cambria" w:hAnsi="Cambria"/>
          <w:sz w:val="22"/>
          <w:szCs w:val="22"/>
        </w:rPr>
        <w:t>) [2012] CSOH 86, leading case concerning the application of the ‘second appeals test’ in judicial review proceedings in Scotland.</w:t>
      </w:r>
    </w:p>
    <w:p w14:paraId="70633D41" w14:textId="77777777" w:rsidR="00E90CAA" w:rsidRPr="00D54E0F" w:rsidRDefault="00E90CAA" w:rsidP="00E90CAA">
      <w:pPr>
        <w:pStyle w:val="ListParagraph"/>
        <w:numPr>
          <w:ilvl w:val="0"/>
          <w:numId w:val="21"/>
        </w:numPr>
        <w:jc w:val="both"/>
        <w:rPr>
          <w:rFonts w:ascii="Cambria" w:hAnsi="Cambria"/>
          <w:sz w:val="22"/>
          <w:szCs w:val="22"/>
        </w:rPr>
      </w:pPr>
      <w:r w:rsidRPr="00D54E0F">
        <w:rPr>
          <w:rFonts w:ascii="Cambria" w:hAnsi="Cambria"/>
          <w:i/>
          <w:sz w:val="22"/>
          <w:szCs w:val="22"/>
        </w:rPr>
        <w:lastRenderedPageBreak/>
        <w:t>Ian Hay v HMA</w:t>
      </w:r>
      <w:r w:rsidRPr="00D54E0F">
        <w:rPr>
          <w:rFonts w:ascii="Cambria" w:hAnsi="Cambria"/>
          <w:sz w:val="22"/>
          <w:szCs w:val="22"/>
        </w:rPr>
        <w:t xml:space="preserve"> (and 6 other related cases) [2012] HCJAC 28.  Seven conjoined criminal appeals relating to sexual offences in which I was instructed with senior counsel on behalf of the Respondent.  The appeals raised issues relating to the right to a fair trial under Article 6 ECHR and the compatibility of the sexual offences register with Article 8 ECHR.</w:t>
      </w:r>
    </w:p>
    <w:p w14:paraId="5CB1E304" w14:textId="77777777" w:rsidR="00C11D16" w:rsidRPr="00D54E0F" w:rsidRDefault="00C11D16" w:rsidP="005F2C0E">
      <w:pPr>
        <w:pStyle w:val="BodyTextIndent"/>
        <w:ind w:left="0"/>
        <w:jc w:val="both"/>
        <w:rPr>
          <w:rFonts w:ascii="Cambria" w:hAnsi="Cambria" w:cs="Arial"/>
          <w:bCs/>
          <w:sz w:val="22"/>
          <w:szCs w:val="22"/>
        </w:rPr>
      </w:pPr>
    </w:p>
    <w:p w14:paraId="18698534" w14:textId="4D963839" w:rsidR="001926EF" w:rsidRPr="00592736" w:rsidRDefault="001677E2" w:rsidP="00592736">
      <w:pPr>
        <w:pStyle w:val="BodyTextIndent"/>
        <w:jc w:val="center"/>
        <w:rPr>
          <w:rFonts w:ascii="Cambria" w:hAnsi="Cambria" w:cs="Arial"/>
          <w:bCs/>
          <w:sz w:val="22"/>
          <w:szCs w:val="22"/>
          <w:u w:val="single"/>
        </w:rPr>
      </w:pPr>
      <w:r w:rsidRPr="00D54E0F">
        <w:rPr>
          <w:rFonts w:ascii="Cambria" w:hAnsi="Cambria" w:cs="Arial"/>
          <w:bCs/>
          <w:sz w:val="22"/>
          <w:szCs w:val="22"/>
          <w:u w:val="single"/>
        </w:rPr>
        <w:t>C</w:t>
      </w:r>
      <w:r w:rsidR="000B1F25">
        <w:rPr>
          <w:rFonts w:ascii="Cambria" w:hAnsi="Cambria" w:cs="Arial"/>
          <w:bCs/>
          <w:sz w:val="22"/>
          <w:szCs w:val="22"/>
          <w:u w:val="single"/>
        </w:rPr>
        <w:t>ivil Litigation &amp; C</w:t>
      </w:r>
      <w:r w:rsidR="00431B4F" w:rsidRPr="00D54E0F">
        <w:rPr>
          <w:rFonts w:ascii="Cambria" w:hAnsi="Cambria" w:cs="Arial"/>
          <w:bCs/>
          <w:sz w:val="22"/>
          <w:szCs w:val="22"/>
          <w:u w:val="single"/>
        </w:rPr>
        <w:t>ommercial Law</w:t>
      </w:r>
    </w:p>
    <w:p w14:paraId="75CE8B38" w14:textId="77777777" w:rsidR="00D854E1" w:rsidRPr="00D54E0F" w:rsidRDefault="00D854E1" w:rsidP="00145C51">
      <w:pPr>
        <w:pStyle w:val="BodyTextIndent"/>
        <w:jc w:val="both"/>
        <w:rPr>
          <w:rFonts w:ascii="Cambria" w:hAnsi="Cambria" w:cs="Arial"/>
          <w:bCs/>
          <w:sz w:val="22"/>
          <w:szCs w:val="22"/>
        </w:rPr>
      </w:pPr>
    </w:p>
    <w:p w14:paraId="3AECB0FF" w14:textId="7F176167" w:rsidR="009042B4" w:rsidRDefault="00E109E3" w:rsidP="009042B4">
      <w:pPr>
        <w:pStyle w:val="BodyTextIndent"/>
        <w:numPr>
          <w:ilvl w:val="0"/>
          <w:numId w:val="31"/>
        </w:numPr>
        <w:jc w:val="both"/>
        <w:rPr>
          <w:rFonts w:ascii="Cambria" w:hAnsi="Cambria" w:cs="Arial"/>
          <w:bCs/>
          <w:sz w:val="22"/>
          <w:szCs w:val="22"/>
        </w:rPr>
      </w:pPr>
      <w:r w:rsidRPr="00D54E0F">
        <w:rPr>
          <w:rFonts w:ascii="Cambria" w:hAnsi="Cambria" w:cs="Arial"/>
          <w:bCs/>
          <w:sz w:val="22"/>
          <w:szCs w:val="22"/>
        </w:rPr>
        <w:t xml:space="preserve">I regularly advise on commercial law matters </w:t>
      </w:r>
      <w:r w:rsidR="00E16147" w:rsidRPr="00D54E0F">
        <w:rPr>
          <w:rFonts w:ascii="Cambria" w:hAnsi="Cambria" w:cs="Arial"/>
          <w:bCs/>
          <w:sz w:val="22"/>
          <w:szCs w:val="22"/>
        </w:rPr>
        <w:t xml:space="preserve">arising out of employment </w:t>
      </w:r>
      <w:r w:rsidR="00133F03" w:rsidRPr="00D54E0F">
        <w:rPr>
          <w:rFonts w:ascii="Cambria" w:hAnsi="Cambria" w:cs="Arial"/>
          <w:bCs/>
          <w:sz w:val="22"/>
          <w:szCs w:val="22"/>
        </w:rPr>
        <w:t xml:space="preserve">and partnership </w:t>
      </w:r>
      <w:r w:rsidR="00E16147" w:rsidRPr="00D54E0F">
        <w:rPr>
          <w:rFonts w:ascii="Cambria" w:hAnsi="Cambria" w:cs="Arial"/>
          <w:bCs/>
          <w:sz w:val="22"/>
          <w:szCs w:val="22"/>
        </w:rPr>
        <w:t>disputes</w:t>
      </w:r>
      <w:r w:rsidR="002A6918">
        <w:rPr>
          <w:rFonts w:ascii="Cambria" w:hAnsi="Cambria" w:cs="Arial"/>
          <w:bCs/>
          <w:sz w:val="22"/>
          <w:szCs w:val="22"/>
        </w:rPr>
        <w:t>, including claims for breach of contract, bonus claims, pensions issues and tax matters on termination of employment</w:t>
      </w:r>
      <w:r w:rsidR="009042B4">
        <w:rPr>
          <w:rFonts w:ascii="Cambria" w:hAnsi="Cambria" w:cs="Arial"/>
          <w:bCs/>
          <w:sz w:val="22"/>
          <w:szCs w:val="22"/>
        </w:rPr>
        <w:t>.</w:t>
      </w:r>
    </w:p>
    <w:p w14:paraId="3F00A6DA" w14:textId="7CDE6778" w:rsidR="002D6FDD" w:rsidRDefault="002D6FDD" w:rsidP="009042B4">
      <w:pPr>
        <w:pStyle w:val="BodyTextIndent"/>
        <w:numPr>
          <w:ilvl w:val="0"/>
          <w:numId w:val="31"/>
        </w:numPr>
        <w:jc w:val="both"/>
        <w:rPr>
          <w:rFonts w:ascii="Cambria" w:hAnsi="Cambria" w:cs="Arial"/>
          <w:bCs/>
          <w:sz w:val="22"/>
          <w:szCs w:val="22"/>
        </w:rPr>
      </w:pPr>
      <w:r>
        <w:rPr>
          <w:rFonts w:ascii="Cambria" w:hAnsi="Cambria" w:cs="Arial"/>
          <w:bCs/>
          <w:sz w:val="22"/>
          <w:szCs w:val="22"/>
        </w:rPr>
        <w:t>I regularly advise on shareholder and director disputes within companies.</w:t>
      </w:r>
    </w:p>
    <w:p w14:paraId="513CBC74" w14:textId="5B59A0A9" w:rsidR="00996411" w:rsidRDefault="00996411" w:rsidP="009042B4">
      <w:pPr>
        <w:pStyle w:val="BodyTextIndent"/>
        <w:numPr>
          <w:ilvl w:val="0"/>
          <w:numId w:val="31"/>
        </w:numPr>
        <w:jc w:val="both"/>
        <w:rPr>
          <w:rFonts w:ascii="Cambria" w:hAnsi="Cambria" w:cs="Arial"/>
          <w:bCs/>
          <w:sz w:val="22"/>
          <w:szCs w:val="22"/>
        </w:rPr>
      </w:pPr>
      <w:r>
        <w:rPr>
          <w:rFonts w:ascii="Cambria" w:hAnsi="Cambria" w:cs="Arial"/>
          <w:bCs/>
          <w:sz w:val="22"/>
          <w:szCs w:val="22"/>
        </w:rPr>
        <w:t>I frequently advise and appear in the Sheriff Court and Court of Session in actions of interim interdict in employment related matters.</w:t>
      </w:r>
    </w:p>
    <w:p w14:paraId="3AB0E362" w14:textId="56FFC17E" w:rsidR="009042B4" w:rsidRDefault="00337041" w:rsidP="009042B4">
      <w:pPr>
        <w:pStyle w:val="BodyTextIndent"/>
        <w:numPr>
          <w:ilvl w:val="0"/>
          <w:numId w:val="31"/>
        </w:numPr>
        <w:jc w:val="both"/>
        <w:rPr>
          <w:rFonts w:ascii="Cambria" w:hAnsi="Cambria" w:cs="Arial"/>
          <w:bCs/>
          <w:sz w:val="22"/>
          <w:szCs w:val="22"/>
        </w:rPr>
      </w:pPr>
      <w:r>
        <w:rPr>
          <w:rFonts w:ascii="Cambria" w:hAnsi="Cambria" w:cs="Arial"/>
          <w:bCs/>
          <w:sz w:val="22"/>
          <w:szCs w:val="22"/>
        </w:rPr>
        <w:t xml:space="preserve">I </w:t>
      </w:r>
      <w:r w:rsidR="00AC6DA6">
        <w:rPr>
          <w:rFonts w:ascii="Cambria" w:hAnsi="Cambria" w:cs="Arial"/>
          <w:bCs/>
          <w:sz w:val="22"/>
          <w:szCs w:val="22"/>
        </w:rPr>
        <w:t xml:space="preserve">recently acted for Rangers FC </w:t>
      </w:r>
      <w:r w:rsidR="008F5C86">
        <w:rPr>
          <w:rFonts w:ascii="Cambria" w:hAnsi="Cambria" w:cs="Arial"/>
          <w:bCs/>
          <w:sz w:val="22"/>
          <w:szCs w:val="22"/>
        </w:rPr>
        <w:t>by in a</w:t>
      </w:r>
      <w:r w:rsidR="009042B4">
        <w:rPr>
          <w:rFonts w:ascii="Cambria" w:hAnsi="Cambria" w:cs="Arial"/>
          <w:bCs/>
          <w:sz w:val="22"/>
          <w:szCs w:val="22"/>
        </w:rPr>
        <w:t xml:space="preserve"> multi-million pound </w:t>
      </w:r>
      <w:r w:rsidR="008F5C86">
        <w:rPr>
          <w:rFonts w:ascii="Cambria" w:hAnsi="Cambria" w:cs="Arial"/>
          <w:bCs/>
          <w:sz w:val="22"/>
          <w:szCs w:val="22"/>
        </w:rPr>
        <w:t xml:space="preserve">action against several </w:t>
      </w:r>
      <w:r w:rsidR="00CE682B">
        <w:rPr>
          <w:rFonts w:ascii="Cambria" w:hAnsi="Cambria" w:cs="Arial"/>
          <w:bCs/>
          <w:sz w:val="22"/>
          <w:szCs w:val="22"/>
        </w:rPr>
        <w:t>former directors of that club for breach of fiduciary dut</w:t>
      </w:r>
      <w:r w:rsidR="00AC6DA6">
        <w:rPr>
          <w:rFonts w:ascii="Cambria" w:hAnsi="Cambria" w:cs="Arial"/>
          <w:bCs/>
          <w:sz w:val="22"/>
          <w:szCs w:val="22"/>
        </w:rPr>
        <w:t xml:space="preserve">ies (now successfully settled). I am currently acting for Rangers FC in action against to recover monies paid to a </w:t>
      </w:r>
      <w:r w:rsidR="00996411">
        <w:rPr>
          <w:rFonts w:ascii="Cambria" w:hAnsi="Cambria" w:cs="Arial"/>
          <w:bCs/>
          <w:sz w:val="22"/>
          <w:szCs w:val="22"/>
        </w:rPr>
        <w:t>former</w:t>
      </w:r>
      <w:r w:rsidR="00AC6DA6">
        <w:rPr>
          <w:rFonts w:ascii="Cambria" w:hAnsi="Cambria" w:cs="Arial"/>
          <w:bCs/>
          <w:sz w:val="22"/>
          <w:szCs w:val="22"/>
        </w:rPr>
        <w:t xml:space="preserve"> director under a settlement agreement</w:t>
      </w:r>
      <w:r w:rsidR="00CE682B">
        <w:rPr>
          <w:rFonts w:ascii="Cambria" w:hAnsi="Cambria" w:cs="Arial"/>
          <w:bCs/>
          <w:sz w:val="22"/>
          <w:szCs w:val="22"/>
        </w:rPr>
        <w:t>.</w:t>
      </w:r>
    </w:p>
    <w:p w14:paraId="14B857E8" w14:textId="3DBD6A14" w:rsidR="009042B4" w:rsidRDefault="000771AF" w:rsidP="009042B4">
      <w:pPr>
        <w:pStyle w:val="BodyTextIndent"/>
        <w:numPr>
          <w:ilvl w:val="0"/>
          <w:numId w:val="31"/>
        </w:numPr>
        <w:jc w:val="both"/>
        <w:rPr>
          <w:rFonts w:ascii="Cambria" w:hAnsi="Cambria" w:cs="Arial"/>
          <w:bCs/>
          <w:sz w:val="22"/>
          <w:szCs w:val="22"/>
        </w:rPr>
      </w:pPr>
      <w:r w:rsidRPr="00D54E0F">
        <w:rPr>
          <w:rFonts w:ascii="Cambria" w:hAnsi="Cambria" w:cs="Arial"/>
          <w:bCs/>
          <w:sz w:val="22"/>
          <w:szCs w:val="22"/>
        </w:rPr>
        <w:t>I a</w:t>
      </w:r>
      <w:r w:rsidR="009042B4">
        <w:rPr>
          <w:rFonts w:ascii="Cambria" w:hAnsi="Cambria" w:cs="Arial"/>
          <w:bCs/>
          <w:sz w:val="22"/>
          <w:szCs w:val="22"/>
        </w:rPr>
        <w:t>m c</w:t>
      </w:r>
      <w:r w:rsidR="00F53727">
        <w:rPr>
          <w:rFonts w:ascii="Cambria" w:hAnsi="Cambria" w:cs="Arial"/>
          <w:bCs/>
          <w:sz w:val="22"/>
          <w:szCs w:val="22"/>
        </w:rPr>
        <w:t>urrently instructed in four sepa</w:t>
      </w:r>
      <w:r w:rsidR="009042B4">
        <w:rPr>
          <w:rFonts w:ascii="Cambria" w:hAnsi="Cambria" w:cs="Arial"/>
          <w:bCs/>
          <w:sz w:val="22"/>
          <w:szCs w:val="22"/>
        </w:rPr>
        <w:t xml:space="preserve">rate proofs in the Court of Session in actions based on </w:t>
      </w:r>
      <w:r w:rsidR="0069656A" w:rsidRPr="00D54E0F">
        <w:rPr>
          <w:rFonts w:ascii="Cambria" w:hAnsi="Cambria" w:cs="Arial"/>
          <w:bCs/>
          <w:sz w:val="22"/>
          <w:szCs w:val="22"/>
        </w:rPr>
        <w:t>the Commercial Agents Regulations</w:t>
      </w:r>
      <w:r w:rsidR="0012141E" w:rsidRPr="00D54E0F">
        <w:rPr>
          <w:rFonts w:ascii="Cambria" w:hAnsi="Cambria" w:cs="Arial"/>
          <w:bCs/>
          <w:sz w:val="22"/>
          <w:szCs w:val="22"/>
        </w:rPr>
        <w:t xml:space="preserve"> 2003</w:t>
      </w:r>
      <w:r w:rsidR="0069656A" w:rsidRPr="00D54E0F">
        <w:rPr>
          <w:rFonts w:ascii="Cambria" w:hAnsi="Cambria" w:cs="Arial"/>
          <w:bCs/>
          <w:sz w:val="22"/>
          <w:szCs w:val="22"/>
        </w:rPr>
        <w:t>.</w:t>
      </w:r>
    </w:p>
    <w:p w14:paraId="3B740294" w14:textId="77777777" w:rsidR="009042B4" w:rsidRDefault="00F74D78" w:rsidP="009042B4">
      <w:pPr>
        <w:pStyle w:val="BodyTextIndent"/>
        <w:numPr>
          <w:ilvl w:val="0"/>
          <w:numId w:val="31"/>
        </w:numPr>
        <w:jc w:val="both"/>
        <w:rPr>
          <w:rFonts w:ascii="Cambria" w:hAnsi="Cambria" w:cs="Arial"/>
          <w:bCs/>
          <w:sz w:val="22"/>
          <w:szCs w:val="22"/>
        </w:rPr>
      </w:pPr>
      <w:r>
        <w:rPr>
          <w:rFonts w:ascii="Cambria" w:hAnsi="Cambria" w:cs="Arial"/>
          <w:bCs/>
          <w:sz w:val="22"/>
          <w:szCs w:val="22"/>
        </w:rPr>
        <w:t xml:space="preserve">I was previously an academic </w:t>
      </w:r>
      <w:r w:rsidR="009042B4">
        <w:rPr>
          <w:rFonts w:ascii="Cambria" w:hAnsi="Cambria" w:cs="Arial"/>
          <w:bCs/>
          <w:sz w:val="22"/>
          <w:szCs w:val="22"/>
        </w:rPr>
        <w:t xml:space="preserve">for seven years </w:t>
      </w:r>
      <w:r>
        <w:rPr>
          <w:rFonts w:ascii="Cambria" w:hAnsi="Cambria" w:cs="Arial"/>
          <w:bCs/>
          <w:sz w:val="22"/>
          <w:szCs w:val="22"/>
        </w:rPr>
        <w:t xml:space="preserve">in the Law Department at the London School of Economics and </w:t>
      </w:r>
      <w:r w:rsidR="001926EF" w:rsidRPr="00D54E0F">
        <w:rPr>
          <w:rFonts w:ascii="Cambria" w:hAnsi="Cambria" w:cs="Arial"/>
          <w:bCs/>
          <w:sz w:val="22"/>
          <w:szCs w:val="22"/>
        </w:rPr>
        <w:t>taught commercial law, contract law and com</w:t>
      </w:r>
      <w:r>
        <w:rPr>
          <w:rFonts w:ascii="Cambria" w:hAnsi="Cambria" w:cs="Arial"/>
          <w:bCs/>
          <w:sz w:val="22"/>
          <w:szCs w:val="22"/>
        </w:rPr>
        <w:t>pany law</w:t>
      </w:r>
      <w:r w:rsidR="009042B4">
        <w:rPr>
          <w:rFonts w:ascii="Cambria" w:hAnsi="Cambria" w:cs="Arial"/>
          <w:bCs/>
          <w:sz w:val="22"/>
          <w:szCs w:val="22"/>
        </w:rPr>
        <w:t>.</w:t>
      </w:r>
    </w:p>
    <w:p w14:paraId="40C392D6" w14:textId="4FD7B03E" w:rsidR="003012DA" w:rsidRPr="00D54E0F" w:rsidRDefault="002F6AE2" w:rsidP="009042B4">
      <w:pPr>
        <w:pStyle w:val="BodyTextIndent"/>
        <w:numPr>
          <w:ilvl w:val="0"/>
          <w:numId w:val="31"/>
        </w:numPr>
        <w:jc w:val="both"/>
        <w:rPr>
          <w:rFonts w:ascii="Cambria" w:hAnsi="Cambria" w:cs="Arial"/>
          <w:bCs/>
          <w:sz w:val="22"/>
          <w:szCs w:val="22"/>
        </w:rPr>
      </w:pPr>
      <w:r w:rsidRPr="00D54E0F">
        <w:rPr>
          <w:rFonts w:ascii="Cambria" w:hAnsi="Cambria" w:cs="Arial"/>
          <w:bCs/>
          <w:sz w:val="22"/>
          <w:szCs w:val="22"/>
        </w:rPr>
        <w:t xml:space="preserve">I am </w:t>
      </w:r>
      <w:r w:rsidR="004D3EC6">
        <w:rPr>
          <w:rFonts w:ascii="Cambria" w:hAnsi="Cambria" w:cs="Arial"/>
          <w:bCs/>
          <w:sz w:val="22"/>
          <w:szCs w:val="22"/>
        </w:rPr>
        <w:t>dual-</w:t>
      </w:r>
      <w:r w:rsidRPr="00D54E0F">
        <w:rPr>
          <w:rFonts w:ascii="Cambria" w:hAnsi="Cambria" w:cs="Arial"/>
          <w:bCs/>
          <w:sz w:val="22"/>
          <w:szCs w:val="22"/>
        </w:rPr>
        <w:t xml:space="preserve">qualified </w:t>
      </w:r>
      <w:r w:rsidR="004D3EC6">
        <w:rPr>
          <w:rFonts w:ascii="Cambria" w:hAnsi="Cambria" w:cs="Arial"/>
          <w:bCs/>
          <w:sz w:val="22"/>
          <w:szCs w:val="22"/>
        </w:rPr>
        <w:t xml:space="preserve">at the Bar </w:t>
      </w:r>
      <w:r w:rsidRPr="00D54E0F">
        <w:rPr>
          <w:rFonts w:ascii="Cambria" w:hAnsi="Cambria" w:cs="Arial"/>
          <w:bCs/>
          <w:sz w:val="22"/>
          <w:szCs w:val="22"/>
        </w:rPr>
        <w:t xml:space="preserve">in Scotland and England and I am able to advise on matters </w:t>
      </w:r>
      <w:r w:rsidR="00C56FA9" w:rsidRPr="00D54E0F">
        <w:rPr>
          <w:rFonts w:ascii="Cambria" w:hAnsi="Cambria" w:cs="Arial"/>
          <w:bCs/>
          <w:sz w:val="22"/>
          <w:szCs w:val="22"/>
        </w:rPr>
        <w:t>arising in both ju</w:t>
      </w:r>
      <w:r w:rsidR="002A6918">
        <w:rPr>
          <w:rFonts w:ascii="Cambria" w:hAnsi="Cambria" w:cs="Arial"/>
          <w:bCs/>
          <w:sz w:val="22"/>
          <w:szCs w:val="22"/>
        </w:rPr>
        <w:t>risdictions and on issues of cro</w:t>
      </w:r>
      <w:r w:rsidR="00C56FA9" w:rsidRPr="00D54E0F">
        <w:rPr>
          <w:rFonts w:ascii="Cambria" w:hAnsi="Cambria" w:cs="Arial"/>
          <w:bCs/>
          <w:sz w:val="22"/>
          <w:szCs w:val="22"/>
        </w:rPr>
        <w:t>ss-border jurisdiction.</w:t>
      </w:r>
      <w:r w:rsidR="00ED2AAE" w:rsidRPr="00D54E0F">
        <w:rPr>
          <w:rFonts w:ascii="Cambria" w:hAnsi="Cambria" w:cs="Arial"/>
          <w:bCs/>
          <w:sz w:val="22"/>
          <w:szCs w:val="22"/>
        </w:rPr>
        <w:t xml:space="preserve"> </w:t>
      </w:r>
    </w:p>
    <w:p w14:paraId="296A24F5" w14:textId="77777777" w:rsidR="001926EF" w:rsidRPr="00D54E0F" w:rsidRDefault="001926EF" w:rsidP="00B671F9">
      <w:pPr>
        <w:pStyle w:val="BodyTextIndent"/>
        <w:jc w:val="both"/>
        <w:rPr>
          <w:rFonts w:ascii="Cambria" w:hAnsi="Cambria" w:cs="Arial"/>
          <w:bCs/>
          <w:sz w:val="22"/>
          <w:szCs w:val="22"/>
        </w:rPr>
      </w:pPr>
    </w:p>
    <w:p w14:paraId="53DE6B3F" w14:textId="77777777" w:rsidR="005A3074" w:rsidRPr="00D54E0F" w:rsidRDefault="005A3074" w:rsidP="005E0881">
      <w:pPr>
        <w:pStyle w:val="BodyTextIndent"/>
        <w:jc w:val="both"/>
        <w:rPr>
          <w:rFonts w:ascii="Cambria" w:hAnsi="Cambria" w:cs="Arial"/>
          <w:b/>
          <w:bCs/>
          <w:sz w:val="22"/>
          <w:szCs w:val="22"/>
        </w:rPr>
      </w:pPr>
    </w:p>
    <w:p w14:paraId="31327ED4" w14:textId="64783F9A" w:rsidR="00564BD7" w:rsidRPr="00D54E0F" w:rsidRDefault="007852B7" w:rsidP="00D54E0F">
      <w:pPr>
        <w:pStyle w:val="BodyTextIndent"/>
        <w:jc w:val="center"/>
        <w:rPr>
          <w:rFonts w:ascii="Cambria" w:hAnsi="Cambria" w:cs="Arial"/>
          <w:bCs/>
          <w:sz w:val="22"/>
          <w:szCs w:val="22"/>
        </w:rPr>
      </w:pPr>
      <w:r w:rsidRPr="00D54E0F">
        <w:rPr>
          <w:rFonts w:ascii="Cambria" w:hAnsi="Cambria" w:cs="Arial"/>
          <w:b/>
          <w:bCs/>
          <w:sz w:val="22"/>
          <w:szCs w:val="22"/>
        </w:rPr>
        <w:t>A</w:t>
      </w:r>
      <w:r w:rsidR="00FE50B8" w:rsidRPr="00D54E0F">
        <w:rPr>
          <w:rFonts w:ascii="Cambria" w:hAnsi="Cambria" w:cs="Arial"/>
          <w:b/>
          <w:bCs/>
          <w:sz w:val="22"/>
          <w:szCs w:val="22"/>
        </w:rPr>
        <w:t>cademic Career</w:t>
      </w:r>
      <w:r w:rsidR="00D52C0D" w:rsidRPr="00D54E0F">
        <w:rPr>
          <w:rFonts w:ascii="Cambria" w:hAnsi="Cambria" w:cs="Arial"/>
          <w:b/>
          <w:bCs/>
          <w:sz w:val="22"/>
          <w:szCs w:val="22"/>
        </w:rPr>
        <w:t xml:space="preserve"> </w:t>
      </w:r>
      <w:r w:rsidR="00D52C0D" w:rsidRPr="00D54E0F">
        <w:rPr>
          <w:rFonts w:ascii="Cambria" w:hAnsi="Cambria" w:cs="Arial"/>
          <w:bCs/>
          <w:sz w:val="22"/>
          <w:szCs w:val="22"/>
        </w:rPr>
        <w:t>(prior to being called to the Bar in 2000)</w:t>
      </w:r>
    </w:p>
    <w:p w14:paraId="5BFFA8E7" w14:textId="0FBFE460" w:rsidR="00D854E1" w:rsidRDefault="00D854E1" w:rsidP="00D854E1">
      <w:pPr>
        <w:pStyle w:val="BodyTextIndent"/>
        <w:ind w:left="0"/>
        <w:jc w:val="both"/>
        <w:rPr>
          <w:rFonts w:ascii="Cambria" w:hAnsi="Cambria" w:cs="Arial"/>
          <w:bCs/>
          <w:iCs/>
          <w:sz w:val="22"/>
          <w:szCs w:val="22"/>
        </w:rPr>
      </w:pPr>
    </w:p>
    <w:p w14:paraId="4FA8E242" w14:textId="77777777" w:rsidR="00D854E1" w:rsidRDefault="00D854E1" w:rsidP="00D854E1">
      <w:pPr>
        <w:pStyle w:val="BodyTextIndent"/>
        <w:ind w:left="0"/>
        <w:jc w:val="both"/>
        <w:rPr>
          <w:rFonts w:ascii="Cambria" w:hAnsi="Cambria" w:cs="Arial"/>
          <w:bCs/>
          <w:iCs/>
          <w:sz w:val="22"/>
          <w:szCs w:val="22"/>
        </w:rPr>
      </w:pPr>
    </w:p>
    <w:p w14:paraId="7938532B" w14:textId="3F05C913" w:rsidR="00723C37" w:rsidRPr="00D54E0F" w:rsidRDefault="00564BD7" w:rsidP="00D854E1">
      <w:pPr>
        <w:pStyle w:val="BodyTextIndent"/>
        <w:ind w:left="0"/>
        <w:jc w:val="both"/>
        <w:rPr>
          <w:rFonts w:ascii="Cambria" w:hAnsi="Cambria" w:cs="Arial"/>
          <w:sz w:val="22"/>
          <w:szCs w:val="22"/>
        </w:rPr>
      </w:pPr>
      <w:r w:rsidRPr="00D54E0F">
        <w:rPr>
          <w:rFonts w:ascii="Cambria" w:hAnsi="Cambria" w:cs="Arial"/>
          <w:bCs/>
          <w:iCs/>
          <w:sz w:val="22"/>
          <w:szCs w:val="22"/>
        </w:rPr>
        <w:t>1989 – 1997</w:t>
      </w:r>
      <w:r w:rsidR="00723C37" w:rsidRPr="00D54E0F">
        <w:rPr>
          <w:rFonts w:ascii="Cambria" w:hAnsi="Cambria" w:cs="Arial"/>
          <w:bCs/>
          <w:iCs/>
          <w:sz w:val="22"/>
          <w:szCs w:val="22"/>
        </w:rPr>
        <w:t xml:space="preserve">: </w:t>
      </w:r>
      <w:r w:rsidRPr="00D54E0F">
        <w:rPr>
          <w:rFonts w:ascii="Cambria" w:hAnsi="Cambria" w:cs="Arial"/>
          <w:bCs/>
          <w:iCs/>
          <w:sz w:val="22"/>
          <w:szCs w:val="22"/>
        </w:rPr>
        <w:t>Lecturer in Law</w:t>
      </w:r>
      <w:r w:rsidR="00723C37" w:rsidRPr="00D54E0F">
        <w:rPr>
          <w:rFonts w:ascii="Cambria" w:hAnsi="Cambria" w:cs="Arial"/>
          <w:bCs/>
          <w:iCs/>
          <w:sz w:val="22"/>
          <w:szCs w:val="22"/>
        </w:rPr>
        <w:t>,</w:t>
      </w:r>
      <w:r w:rsidR="00723C37" w:rsidRPr="00D54E0F">
        <w:rPr>
          <w:rFonts w:ascii="Cambria" w:hAnsi="Cambria" w:cs="Arial"/>
          <w:b/>
          <w:bCs/>
          <w:i/>
          <w:iCs/>
          <w:sz w:val="22"/>
          <w:szCs w:val="22"/>
        </w:rPr>
        <w:t xml:space="preserve"> </w:t>
      </w:r>
      <w:r w:rsidRPr="00D54E0F">
        <w:rPr>
          <w:rFonts w:ascii="Cambria" w:hAnsi="Cambria" w:cs="Arial"/>
          <w:sz w:val="22"/>
          <w:szCs w:val="22"/>
        </w:rPr>
        <w:t>Law Department, London School of Economic and Political Science</w:t>
      </w:r>
      <w:r w:rsidR="00723C37" w:rsidRPr="00D54E0F">
        <w:rPr>
          <w:rFonts w:ascii="Cambria" w:hAnsi="Cambria" w:cs="Arial"/>
          <w:sz w:val="22"/>
          <w:szCs w:val="22"/>
        </w:rPr>
        <w:t>.</w:t>
      </w:r>
      <w:r w:rsidR="0030003C">
        <w:rPr>
          <w:rFonts w:ascii="Cambria" w:hAnsi="Cambria" w:cs="Arial"/>
          <w:sz w:val="22"/>
          <w:szCs w:val="22"/>
        </w:rPr>
        <w:t xml:space="preserve">  Subjects taught: Commercial Law, Contract Law and Company Law.</w:t>
      </w:r>
    </w:p>
    <w:p w14:paraId="5E8F30B3" w14:textId="77777777" w:rsidR="00D854E1" w:rsidRDefault="00D854E1" w:rsidP="00D854E1">
      <w:pPr>
        <w:pStyle w:val="BodyTextIndent"/>
        <w:ind w:left="0"/>
        <w:jc w:val="both"/>
        <w:rPr>
          <w:rFonts w:ascii="Cambria" w:hAnsi="Cambria" w:cs="Arial"/>
          <w:bCs/>
          <w:iCs/>
          <w:sz w:val="22"/>
          <w:szCs w:val="22"/>
        </w:rPr>
      </w:pPr>
    </w:p>
    <w:p w14:paraId="00DB95C1" w14:textId="79FF9F4C" w:rsidR="00723C37" w:rsidRPr="00D54E0F" w:rsidRDefault="00723C37" w:rsidP="00D854E1">
      <w:pPr>
        <w:pStyle w:val="BodyTextIndent"/>
        <w:ind w:left="0"/>
        <w:jc w:val="both"/>
        <w:rPr>
          <w:rFonts w:ascii="Cambria" w:hAnsi="Cambria" w:cs="Arial"/>
          <w:bCs/>
          <w:iCs/>
          <w:sz w:val="22"/>
          <w:szCs w:val="22"/>
        </w:rPr>
      </w:pPr>
      <w:r w:rsidRPr="00D54E0F">
        <w:rPr>
          <w:rFonts w:ascii="Cambria" w:hAnsi="Cambria" w:cs="Arial"/>
          <w:bCs/>
          <w:iCs/>
          <w:sz w:val="22"/>
          <w:szCs w:val="22"/>
        </w:rPr>
        <w:t>1997 – 2000: Senior Lecturer in Law, University of East London</w:t>
      </w:r>
      <w:r w:rsidR="0030003C">
        <w:rPr>
          <w:rFonts w:ascii="Cambria" w:hAnsi="Cambria" w:cs="Arial"/>
          <w:bCs/>
          <w:iCs/>
          <w:sz w:val="22"/>
          <w:szCs w:val="22"/>
        </w:rPr>
        <w:t>. Subjects taught: Contract Law and Public and Human Rights Law</w:t>
      </w:r>
    </w:p>
    <w:p w14:paraId="1D35A990" w14:textId="2EB6B22F" w:rsidR="00D854E1" w:rsidRDefault="00D854E1" w:rsidP="005F2C0E">
      <w:pPr>
        <w:pStyle w:val="BodyTextIndent"/>
        <w:jc w:val="both"/>
        <w:rPr>
          <w:rFonts w:ascii="Cambria" w:hAnsi="Cambria" w:cs="Arial"/>
          <w:sz w:val="22"/>
          <w:szCs w:val="22"/>
        </w:rPr>
      </w:pPr>
    </w:p>
    <w:p w14:paraId="31DE89BF" w14:textId="77777777" w:rsidR="00D854E1" w:rsidRPr="00D54E0F" w:rsidRDefault="00D854E1" w:rsidP="005F2C0E">
      <w:pPr>
        <w:pStyle w:val="BodyTextIndent"/>
        <w:jc w:val="both"/>
        <w:rPr>
          <w:rFonts w:ascii="Cambria" w:hAnsi="Cambria" w:cs="Arial"/>
          <w:sz w:val="22"/>
          <w:szCs w:val="22"/>
        </w:rPr>
      </w:pPr>
    </w:p>
    <w:p w14:paraId="1D3F1BC5" w14:textId="77171CA8" w:rsidR="00564BD7" w:rsidRPr="00D54E0F" w:rsidRDefault="00B5690A" w:rsidP="00D54E0F">
      <w:pPr>
        <w:pStyle w:val="BodyTextIndent"/>
        <w:jc w:val="center"/>
        <w:rPr>
          <w:rFonts w:ascii="Cambria" w:hAnsi="Cambria" w:cs="Arial"/>
          <w:b/>
          <w:bCs/>
          <w:sz w:val="22"/>
          <w:szCs w:val="22"/>
        </w:rPr>
      </w:pPr>
      <w:r w:rsidRPr="00D54E0F">
        <w:rPr>
          <w:rFonts w:ascii="Cambria" w:hAnsi="Cambria" w:cs="Arial"/>
          <w:b/>
          <w:bCs/>
          <w:sz w:val="22"/>
          <w:szCs w:val="22"/>
        </w:rPr>
        <w:t>E</w:t>
      </w:r>
      <w:r w:rsidR="00D52C0D" w:rsidRPr="00D54E0F">
        <w:rPr>
          <w:rFonts w:ascii="Cambria" w:hAnsi="Cambria" w:cs="Arial"/>
          <w:b/>
          <w:bCs/>
          <w:sz w:val="22"/>
          <w:szCs w:val="22"/>
        </w:rPr>
        <w:t>ducation</w:t>
      </w:r>
    </w:p>
    <w:p w14:paraId="191916B1" w14:textId="578C4975" w:rsidR="00564BD7" w:rsidRDefault="00564BD7" w:rsidP="005F2C0E">
      <w:pPr>
        <w:pStyle w:val="BodyTextIndent"/>
        <w:jc w:val="both"/>
        <w:rPr>
          <w:rFonts w:ascii="Cambria" w:hAnsi="Cambria" w:cs="Arial"/>
          <w:sz w:val="22"/>
          <w:szCs w:val="22"/>
        </w:rPr>
      </w:pPr>
    </w:p>
    <w:p w14:paraId="3BEAFC53" w14:textId="77777777" w:rsidR="00D854E1" w:rsidRPr="00D54E0F" w:rsidRDefault="00D854E1" w:rsidP="005F2C0E">
      <w:pPr>
        <w:pStyle w:val="BodyTextIndent"/>
        <w:jc w:val="both"/>
        <w:rPr>
          <w:rFonts w:ascii="Cambria" w:hAnsi="Cambria" w:cs="Arial"/>
          <w:sz w:val="22"/>
          <w:szCs w:val="22"/>
        </w:rPr>
      </w:pPr>
    </w:p>
    <w:p w14:paraId="72883F61" w14:textId="0389BB1F" w:rsidR="00564BD7" w:rsidRPr="00D54E0F" w:rsidRDefault="00564BD7" w:rsidP="00D854E1">
      <w:pPr>
        <w:pStyle w:val="BodyTextIndent"/>
        <w:ind w:left="0"/>
        <w:jc w:val="both"/>
        <w:rPr>
          <w:rFonts w:ascii="Cambria" w:hAnsi="Cambria" w:cs="Arial"/>
          <w:sz w:val="22"/>
          <w:szCs w:val="22"/>
        </w:rPr>
      </w:pPr>
      <w:r w:rsidRPr="00D54E0F">
        <w:rPr>
          <w:rFonts w:ascii="Cambria" w:hAnsi="Cambria" w:cs="Arial"/>
          <w:sz w:val="22"/>
          <w:szCs w:val="22"/>
        </w:rPr>
        <w:t>1999 – 2000</w:t>
      </w:r>
      <w:r w:rsidRPr="00D54E0F">
        <w:rPr>
          <w:rFonts w:ascii="Cambria" w:hAnsi="Cambria" w:cs="Arial"/>
          <w:sz w:val="22"/>
          <w:szCs w:val="22"/>
        </w:rPr>
        <w:tab/>
        <w:t>Bar Vocational Course</w:t>
      </w:r>
      <w:r w:rsidR="00D52C0D" w:rsidRPr="00D54E0F">
        <w:rPr>
          <w:rFonts w:ascii="Cambria" w:hAnsi="Cambria" w:cs="Arial"/>
          <w:sz w:val="22"/>
          <w:szCs w:val="22"/>
        </w:rPr>
        <w:t xml:space="preserve">, </w:t>
      </w:r>
      <w:r w:rsidRPr="00D54E0F">
        <w:rPr>
          <w:rFonts w:ascii="Cambria" w:hAnsi="Cambria" w:cs="Arial"/>
          <w:sz w:val="22"/>
          <w:szCs w:val="22"/>
        </w:rPr>
        <w:t>(Very Competent)</w:t>
      </w:r>
    </w:p>
    <w:p w14:paraId="6FF461D6" w14:textId="4E38D933" w:rsidR="00564BD7" w:rsidRPr="00D54E0F" w:rsidRDefault="00564BD7" w:rsidP="00D854E1">
      <w:pPr>
        <w:pStyle w:val="BodyTextIndent"/>
        <w:ind w:left="0"/>
        <w:jc w:val="both"/>
        <w:rPr>
          <w:rFonts w:ascii="Cambria" w:hAnsi="Cambria" w:cs="Arial"/>
          <w:sz w:val="22"/>
          <w:szCs w:val="22"/>
        </w:rPr>
      </w:pPr>
      <w:r w:rsidRPr="00D54E0F">
        <w:rPr>
          <w:rFonts w:ascii="Cambria" w:hAnsi="Cambria" w:cs="Arial"/>
          <w:sz w:val="22"/>
          <w:szCs w:val="22"/>
        </w:rPr>
        <w:t>1986 – 1989</w:t>
      </w:r>
      <w:r w:rsidRPr="00D54E0F">
        <w:rPr>
          <w:rFonts w:ascii="Cambria" w:hAnsi="Cambria" w:cs="Arial"/>
          <w:sz w:val="22"/>
          <w:szCs w:val="22"/>
        </w:rPr>
        <w:tab/>
        <w:t>European Univ</w:t>
      </w:r>
      <w:r w:rsidR="00820789" w:rsidRPr="00D54E0F">
        <w:rPr>
          <w:rFonts w:ascii="Cambria" w:hAnsi="Cambria" w:cs="Arial"/>
          <w:sz w:val="22"/>
          <w:szCs w:val="22"/>
        </w:rPr>
        <w:t>ersity</w:t>
      </w:r>
      <w:r w:rsidR="00887646" w:rsidRPr="00D54E0F">
        <w:rPr>
          <w:rFonts w:ascii="Cambria" w:hAnsi="Cambria" w:cs="Arial"/>
          <w:sz w:val="22"/>
          <w:szCs w:val="22"/>
        </w:rPr>
        <w:t xml:space="preserve"> Institute, Florence (Research student</w:t>
      </w:r>
      <w:r w:rsidR="00820789" w:rsidRPr="00D54E0F">
        <w:rPr>
          <w:rFonts w:ascii="Cambria" w:hAnsi="Cambria" w:cs="Arial"/>
          <w:sz w:val="22"/>
          <w:szCs w:val="22"/>
        </w:rPr>
        <w:t>)</w:t>
      </w:r>
      <w:r w:rsidRPr="00D54E0F">
        <w:rPr>
          <w:rFonts w:ascii="Cambria" w:hAnsi="Cambria" w:cs="Arial"/>
          <w:sz w:val="22"/>
          <w:szCs w:val="22"/>
        </w:rPr>
        <w:t>.</w:t>
      </w:r>
    </w:p>
    <w:p w14:paraId="0D5A3F10" w14:textId="77777777" w:rsidR="00564BD7" w:rsidRPr="00D54E0F" w:rsidRDefault="00564BD7" w:rsidP="00D854E1">
      <w:pPr>
        <w:pStyle w:val="BodyTextIndent"/>
        <w:ind w:left="0"/>
        <w:jc w:val="both"/>
        <w:rPr>
          <w:rFonts w:ascii="Cambria" w:hAnsi="Cambria" w:cs="Arial"/>
          <w:sz w:val="22"/>
          <w:szCs w:val="22"/>
        </w:rPr>
      </w:pPr>
      <w:r w:rsidRPr="00D54E0F">
        <w:rPr>
          <w:rFonts w:ascii="Cambria" w:hAnsi="Cambria" w:cs="Arial"/>
          <w:sz w:val="22"/>
          <w:szCs w:val="22"/>
        </w:rPr>
        <w:t>1985 – 1986</w:t>
      </w:r>
      <w:r w:rsidRPr="00D54E0F">
        <w:rPr>
          <w:rFonts w:ascii="Cambria" w:hAnsi="Cambria" w:cs="Arial"/>
          <w:sz w:val="22"/>
          <w:szCs w:val="22"/>
        </w:rPr>
        <w:tab/>
        <w:t>Dundee University. Postgraduate Diploma in Energy Law.</w:t>
      </w:r>
    </w:p>
    <w:p w14:paraId="5A320714" w14:textId="660B3045" w:rsidR="00564BD7" w:rsidRPr="00D54E0F" w:rsidRDefault="00564BD7" w:rsidP="00D854E1">
      <w:pPr>
        <w:pStyle w:val="BodyTextIndent"/>
        <w:ind w:left="0"/>
        <w:jc w:val="both"/>
        <w:rPr>
          <w:rFonts w:ascii="Cambria" w:hAnsi="Cambria" w:cs="Arial"/>
          <w:sz w:val="22"/>
          <w:szCs w:val="22"/>
        </w:rPr>
      </w:pPr>
      <w:r w:rsidRPr="00D54E0F">
        <w:rPr>
          <w:rFonts w:ascii="Cambria" w:hAnsi="Cambria" w:cs="Arial"/>
          <w:sz w:val="22"/>
          <w:szCs w:val="22"/>
        </w:rPr>
        <w:t>1981 – 1985</w:t>
      </w:r>
      <w:r w:rsidRPr="00D54E0F">
        <w:rPr>
          <w:rFonts w:ascii="Cambria" w:hAnsi="Cambria" w:cs="Arial"/>
          <w:sz w:val="22"/>
          <w:szCs w:val="22"/>
        </w:rPr>
        <w:tab/>
        <w:t>Dundee University. LL.B (Hons) (Upper Second)</w:t>
      </w:r>
    </w:p>
    <w:p w14:paraId="4C4661EE" w14:textId="77777777" w:rsidR="00564BD7" w:rsidRPr="00D54E0F" w:rsidRDefault="00564BD7" w:rsidP="00D854E1">
      <w:pPr>
        <w:pStyle w:val="BodyTextIndent"/>
        <w:ind w:left="0"/>
        <w:jc w:val="both"/>
        <w:rPr>
          <w:rFonts w:ascii="Cambria" w:hAnsi="Cambria" w:cs="Arial"/>
          <w:sz w:val="22"/>
          <w:szCs w:val="22"/>
        </w:rPr>
      </w:pPr>
      <w:r w:rsidRPr="00D54E0F">
        <w:rPr>
          <w:rFonts w:ascii="Cambria" w:hAnsi="Cambria" w:cs="Arial"/>
          <w:sz w:val="22"/>
          <w:szCs w:val="22"/>
        </w:rPr>
        <w:t>1976 – 1981</w:t>
      </w:r>
      <w:r w:rsidRPr="00D54E0F">
        <w:rPr>
          <w:rFonts w:ascii="Cambria" w:hAnsi="Cambria" w:cs="Arial"/>
          <w:sz w:val="22"/>
          <w:szCs w:val="22"/>
        </w:rPr>
        <w:tab/>
        <w:t>Notre Dame High School, Greenock – 7 ‘O’ levels and 5 ‘H’ levels.</w:t>
      </w:r>
    </w:p>
    <w:p w14:paraId="4327D53B" w14:textId="77777777" w:rsidR="00564BD7" w:rsidRPr="00D54E0F" w:rsidRDefault="00564BD7" w:rsidP="005F2C0E">
      <w:pPr>
        <w:pStyle w:val="BodyTextIndent"/>
        <w:jc w:val="both"/>
        <w:rPr>
          <w:rFonts w:ascii="Cambria" w:hAnsi="Cambria" w:cs="Arial"/>
          <w:b/>
          <w:bCs/>
          <w:sz w:val="22"/>
          <w:szCs w:val="22"/>
        </w:rPr>
      </w:pPr>
    </w:p>
    <w:p w14:paraId="3DBBFA5B" w14:textId="77777777" w:rsidR="00D854E1" w:rsidRDefault="00D854E1" w:rsidP="00D54E0F">
      <w:pPr>
        <w:pStyle w:val="BodyTextIndent"/>
        <w:jc w:val="center"/>
        <w:rPr>
          <w:rFonts w:ascii="Cambria" w:hAnsi="Cambria" w:cs="Arial"/>
          <w:b/>
          <w:bCs/>
          <w:sz w:val="22"/>
          <w:szCs w:val="22"/>
        </w:rPr>
      </w:pPr>
    </w:p>
    <w:p w14:paraId="1FF2BD49" w14:textId="40DEC86E" w:rsidR="00D52C0D" w:rsidRDefault="00D52C0D" w:rsidP="00D54E0F">
      <w:pPr>
        <w:pStyle w:val="BodyTextIndent"/>
        <w:jc w:val="center"/>
        <w:rPr>
          <w:rFonts w:ascii="Cambria" w:hAnsi="Cambria" w:cs="Arial"/>
          <w:b/>
          <w:bCs/>
          <w:sz w:val="22"/>
          <w:szCs w:val="22"/>
        </w:rPr>
      </w:pPr>
      <w:r w:rsidRPr="00D54E0F">
        <w:rPr>
          <w:rFonts w:ascii="Cambria" w:hAnsi="Cambria" w:cs="Arial"/>
          <w:b/>
          <w:bCs/>
          <w:sz w:val="22"/>
          <w:szCs w:val="22"/>
        </w:rPr>
        <w:t>Publications</w:t>
      </w:r>
    </w:p>
    <w:p w14:paraId="4CB33EB5" w14:textId="6F803917" w:rsidR="00D54E0F" w:rsidRDefault="00D54E0F" w:rsidP="00D54E0F">
      <w:pPr>
        <w:pStyle w:val="BodyTextIndent"/>
        <w:jc w:val="center"/>
        <w:rPr>
          <w:rFonts w:ascii="Cambria" w:hAnsi="Cambria" w:cs="Arial"/>
          <w:b/>
          <w:bCs/>
          <w:sz w:val="22"/>
          <w:szCs w:val="22"/>
        </w:rPr>
      </w:pPr>
    </w:p>
    <w:p w14:paraId="251B24DD" w14:textId="77777777" w:rsidR="00D854E1" w:rsidRPr="00D54E0F" w:rsidRDefault="00D854E1" w:rsidP="00D54E0F">
      <w:pPr>
        <w:pStyle w:val="BodyTextIndent"/>
        <w:jc w:val="center"/>
        <w:rPr>
          <w:rFonts w:ascii="Cambria" w:hAnsi="Cambria" w:cs="Arial"/>
          <w:b/>
          <w:bCs/>
          <w:sz w:val="22"/>
          <w:szCs w:val="22"/>
        </w:rPr>
      </w:pPr>
    </w:p>
    <w:p w14:paraId="3E5452D7"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t xml:space="preserve">‘Punishing Decision: Protective Awards Punitive Not Compensatory’ Solicitors’ Journal 6 August 2004 (Note on decision of CA in </w:t>
      </w:r>
      <w:r w:rsidRPr="00D54E0F">
        <w:rPr>
          <w:rFonts w:ascii="Cambria" w:hAnsi="Cambria" w:cs="Arial"/>
          <w:i/>
          <w:iCs/>
          <w:spacing w:val="-2"/>
          <w:sz w:val="22"/>
          <w:szCs w:val="22"/>
        </w:rPr>
        <w:t xml:space="preserve">Susie </w:t>
      </w:r>
      <w:proofErr w:type="spellStart"/>
      <w:r w:rsidRPr="00D54E0F">
        <w:rPr>
          <w:rFonts w:ascii="Cambria" w:hAnsi="Cambria" w:cs="Arial"/>
          <w:i/>
          <w:iCs/>
          <w:spacing w:val="-2"/>
          <w:sz w:val="22"/>
          <w:szCs w:val="22"/>
        </w:rPr>
        <w:t>Radin</w:t>
      </w:r>
      <w:proofErr w:type="spellEnd"/>
      <w:r w:rsidRPr="00D54E0F">
        <w:rPr>
          <w:rFonts w:ascii="Cambria" w:hAnsi="Cambria" w:cs="Arial"/>
          <w:i/>
          <w:iCs/>
          <w:spacing w:val="-2"/>
          <w:sz w:val="22"/>
          <w:szCs w:val="22"/>
        </w:rPr>
        <w:t xml:space="preserve"> Ltd v GMB</w:t>
      </w:r>
      <w:r w:rsidRPr="00D54E0F">
        <w:rPr>
          <w:rFonts w:ascii="Cambria" w:hAnsi="Cambria" w:cs="Arial"/>
          <w:spacing w:val="-2"/>
          <w:sz w:val="22"/>
          <w:szCs w:val="22"/>
        </w:rPr>
        <w:t xml:space="preserve"> 2004 IRLR 400)</w:t>
      </w:r>
    </w:p>
    <w:p w14:paraId="43FADA39" w14:textId="4DFD4B13"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t xml:space="preserve">'No Entry': A Critical Reading of the Asylum and Immigration Act 1996", in Shah and Doebbler (eds.) United Kingdom Asylum Law in its European Context (1999, </w:t>
      </w:r>
      <w:r w:rsidR="00996411" w:rsidRPr="00D54E0F">
        <w:rPr>
          <w:rFonts w:ascii="Cambria" w:hAnsi="Cambria" w:cs="Arial"/>
          <w:spacing w:val="-2"/>
          <w:sz w:val="22"/>
          <w:szCs w:val="22"/>
        </w:rPr>
        <w:t>Platinum</w:t>
      </w:r>
      <w:r w:rsidRPr="00D54E0F">
        <w:rPr>
          <w:rFonts w:ascii="Cambria" w:hAnsi="Cambria" w:cs="Arial"/>
          <w:spacing w:val="-2"/>
          <w:sz w:val="22"/>
          <w:szCs w:val="22"/>
        </w:rPr>
        <w:t>/GEMS)</w:t>
      </w:r>
    </w:p>
    <w:p w14:paraId="09928790"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t xml:space="preserve">‘State Liability for Breach of European Law', </w:t>
      </w:r>
      <w:r w:rsidRPr="00D54E0F">
        <w:rPr>
          <w:rFonts w:ascii="Cambria" w:hAnsi="Cambria" w:cs="Arial"/>
          <w:iCs/>
          <w:spacing w:val="-2"/>
          <w:sz w:val="22"/>
          <w:szCs w:val="22"/>
        </w:rPr>
        <w:t>Legal Action</w:t>
      </w:r>
      <w:r w:rsidRPr="00D54E0F">
        <w:rPr>
          <w:rFonts w:ascii="Cambria" w:hAnsi="Cambria" w:cs="Arial"/>
          <w:spacing w:val="-2"/>
          <w:sz w:val="22"/>
          <w:szCs w:val="22"/>
        </w:rPr>
        <w:t xml:space="preserve"> (1996) December</w:t>
      </w:r>
    </w:p>
    <w:p w14:paraId="55676465"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lastRenderedPageBreak/>
        <w:t xml:space="preserve">‘Challenging Exclusion Orders', </w:t>
      </w:r>
      <w:r w:rsidRPr="00D54E0F">
        <w:rPr>
          <w:rFonts w:ascii="Cambria" w:hAnsi="Cambria" w:cs="Arial"/>
          <w:iCs/>
          <w:spacing w:val="-2"/>
          <w:sz w:val="22"/>
          <w:szCs w:val="22"/>
        </w:rPr>
        <w:t>Legal Action</w:t>
      </w:r>
      <w:r w:rsidRPr="00D54E0F">
        <w:rPr>
          <w:rFonts w:ascii="Cambria" w:hAnsi="Cambria" w:cs="Arial"/>
          <w:spacing w:val="-2"/>
          <w:sz w:val="22"/>
          <w:szCs w:val="22"/>
        </w:rPr>
        <w:t xml:space="preserve"> (1996) September</w:t>
      </w:r>
    </w:p>
    <w:p w14:paraId="7A8362A9"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t xml:space="preserve">‘Discretionary Lifers and Parole', </w:t>
      </w:r>
      <w:r w:rsidRPr="00D54E0F">
        <w:rPr>
          <w:rFonts w:ascii="Cambria" w:hAnsi="Cambria" w:cs="Arial"/>
          <w:iCs/>
          <w:spacing w:val="-2"/>
          <w:sz w:val="22"/>
          <w:szCs w:val="22"/>
        </w:rPr>
        <w:t>Legal Action</w:t>
      </w:r>
      <w:r w:rsidRPr="00D54E0F">
        <w:rPr>
          <w:rFonts w:ascii="Cambria" w:hAnsi="Cambria" w:cs="Arial"/>
          <w:spacing w:val="-2"/>
          <w:sz w:val="22"/>
          <w:szCs w:val="22"/>
        </w:rPr>
        <w:t xml:space="preserve"> (1995) December</w:t>
      </w:r>
    </w:p>
    <w:p w14:paraId="1D6CE3C9"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t xml:space="preserve">‘Banking Beyond the Single Market: Monetary Policy and the European Central Bank', in Cranston (ed.) </w:t>
      </w:r>
      <w:r w:rsidRPr="00D54E0F">
        <w:rPr>
          <w:rFonts w:ascii="Cambria" w:hAnsi="Cambria" w:cs="Arial"/>
          <w:iCs/>
          <w:spacing w:val="-2"/>
          <w:sz w:val="22"/>
          <w:szCs w:val="22"/>
        </w:rPr>
        <w:t>The Single Market and the Law of Banking</w:t>
      </w:r>
      <w:r w:rsidRPr="00D54E0F">
        <w:rPr>
          <w:rFonts w:ascii="Cambria" w:hAnsi="Cambria" w:cs="Arial"/>
          <w:spacing w:val="-2"/>
          <w:sz w:val="22"/>
          <w:szCs w:val="22"/>
        </w:rPr>
        <w:t xml:space="preserve"> (London, 1994)</w:t>
      </w:r>
    </w:p>
    <w:p w14:paraId="756B4931"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t xml:space="preserve">‘The Role of Auditors in Protecting Against Bank Fraud', in Norton (ed.) </w:t>
      </w:r>
      <w:r w:rsidRPr="00D54E0F">
        <w:rPr>
          <w:rFonts w:ascii="Cambria" w:hAnsi="Cambria" w:cs="Arial"/>
          <w:iCs/>
          <w:spacing w:val="-2"/>
          <w:sz w:val="22"/>
          <w:szCs w:val="22"/>
        </w:rPr>
        <w:t>Banks, Fraud and Crime</w:t>
      </w:r>
      <w:r w:rsidRPr="00D54E0F">
        <w:rPr>
          <w:rFonts w:ascii="Cambria" w:hAnsi="Cambria" w:cs="Arial"/>
          <w:spacing w:val="-2"/>
          <w:sz w:val="22"/>
          <w:szCs w:val="22"/>
        </w:rPr>
        <w:t xml:space="preserve"> (London, 1994)</w:t>
      </w:r>
    </w:p>
    <w:p w14:paraId="2FE3DF54"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iCs/>
          <w:spacing w:val="-2"/>
          <w:sz w:val="22"/>
          <w:szCs w:val="22"/>
        </w:rPr>
      </w:pPr>
      <w:r w:rsidRPr="00D54E0F">
        <w:rPr>
          <w:rFonts w:ascii="Cambria" w:hAnsi="Cambria" w:cs="Arial"/>
          <w:spacing w:val="-2"/>
          <w:sz w:val="22"/>
          <w:szCs w:val="22"/>
        </w:rPr>
        <w:t xml:space="preserve">‘Emergent Trends in Bank Supervision in the United Kingdom' (1993) 56 </w:t>
      </w:r>
      <w:r w:rsidRPr="00D54E0F">
        <w:rPr>
          <w:rFonts w:ascii="Cambria" w:hAnsi="Cambria" w:cs="Arial"/>
          <w:iCs/>
          <w:spacing w:val="-2"/>
          <w:sz w:val="22"/>
          <w:szCs w:val="22"/>
        </w:rPr>
        <w:t>Modern Law Review</w:t>
      </w:r>
    </w:p>
    <w:p w14:paraId="53FB5D2D"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iCs/>
          <w:spacing w:val="-2"/>
          <w:sz w:val="22"/>
          <w:szCs w:val="22"/>
        </w:rPr>
      </w:pPr>
      <w:r w:rsidRPr="00D54E0F">
        <w:rPr>
          <w:rFonts w:ascii="Cambria" w:hAnsi="Cambria" w:cs="Arial"/>
          <w:spacing w:val="-2"/>
          <w:sz w:val="22"/>
          <w:szCs w:val="22"/>
        </w:rPr>
        <w:t xml:space="preserve">‘Banking Supervision after Bingham: The end of an era?' (1993) Vol. 4, Issue 2 </w:t>
      </w:r>
      <w:r w:rsidRPr="00D54E0F">
        <w:rPr>
          <w:rFonts w:ascii="Cambria" w:hAnsi="Cambria" w:cs="Arial"/>
          <w:iCs/>
          <w:spacing w:val="-2"/>
          <w:sz w:val="22"/>
          <w:szCs w:val="22"/>
        </w:rPr>
        <w:t>International Company and Commercial Law Review</w:t>
      </w:r>
    </w:p>
    <w:p w14:paraId="6D326202"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iCs/>
          <w:spacing w:val="-2"/>
          <w:sz w:val="22"/>
          <w:szCs w:val="22"/>
        </w:rPr>
      </w:pPr>
      <w:r w:rsidRPr="00D54E0F">
        <w:rPr>
          <w:rFonts w:ascii="Cambria" w:hAnsi="Cambria" w:cs="Arial"/>
          <w:spacing w:val="-2"/>
          <w:sz w:val="22"/>
          <w:szCs w:val="22"/>
        </w:rPr>
        <w:t xml:space="preserve">‘The Europeanisation of Banking Regulation' (1990) Vol. 3 </w:t>
      </w:r>
      <w:r w:rsidRPr="00D54E0F">
        <w:rPr>
          <w:rFonts w:ascii="Cambria" w:hAnsi="Cambria" w:cs="Arial"/>
          <w:iCs/>
          <w:spacing w:val="-2"/>
          <w:sz w:val="22"/>
          <w:szCs w:val="22"/>
        </w:rPr>
        <w:t>Journal of the International Economic Law Society of Canada</w:t>
      </w:r>
    </w:p>
    <w:p w14:paraId="40E6DEB0"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iCs/>
          <w:spacing w:val="-2"/>
          <w:sz w:val="22"/>
          <w:szCs w:val="22"/>
        </w:rPr>
        <w:t xml:space="preserve">Fulham Football Club v </w:t>
      </w:r>
      <w:proofErr w:type="spellStart"/>
      <w:r w:rsidRPr="00D54E0F">
        <w:rPr>
          <w:rFonts w:ascii="Cambria" w:hAnsi="Cambria" w:cs="Arial"/>
          <w:iCs/>
          <w:spacing w:val="-2"/>
          <w:sz w:val="22"/>
          <w:szCs w:val="22"/>
        </w:rPr>
        <w:t>Cabra</w:t>
      </w:r>
      <w:proofErr w:type="spellEnd"/>
      <w:r w:rsidRPr="00D54E0F">
        <w:rPr>
          <w:rFonts w:ascii="Cambria" w:hAnsi="Cambria" w:cs="Arial"/>
          <w:spacing w:val="-2"/>
          <w:sz w:val="22"/>
          <w:szCs w:val="22"/>
        </w:rPr>
        <w:t xml:space="preserve">, Note (1992) Vol. 3, Issue 11 </w:t>
      </w:r>
      <w:r w:rsidRPr="00D54E0F">
        <w:rPr>
          <w:rFonts w:ascii="Cambria" w:hAnsi="Cambria" w:cs="Arial"/>
          <w:iCs/>
          <w:spacing w:val="-2"/>
          <w:sz w:val="22"/>
          <w:szCs w:val="22"/>
        </w:rPr>
        <w:t>International Company and Commercial Law Review</w:t>
      </w:r>
    </w:p>
    <w:p w14:paraId="73F9D86E"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t xml:space="preserve">‘Cross-Border Electronic Banking: Opportunities or Risk?'  </w:t>
      </w:r>
      <w:r w:rsidRPr="00D54E0F">
        <w:rPr>
          <w:rFonts w:ascii="Cambria" w:hAnsi="Cambria" w:cs="Arial"/>
          <w:iCs/>
          <w:spacing w:val="-2"/>
          <w:sz w:val="22"/>
          <w:szCs w:val="22"/>
        </w:rPr>
        <w:t>Banking World</w:t>
      </w:r>
      <w:r w:rsidRPr="00D54E0F">
        <w:rPr>
          <w:rFonts w:ascii="Cambria" w:hAnsi="Cambria" w:cs="Arial"/>
          <w:spacing w:val="-2"/>
          <w:sz w:val="22"/>
          <w:szCs w:val="22"/>
        </w:rPr>
        <w:t>, March 1994</w:t>
      </w:r>
    </w:p>
    <w:p w14:paraId="52F0F3A3"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iCs/>
          <w:spacing w:val="-2"/>
          <w:sz w:val="22"/>
          <w:szCs w:val="22"/>
        </w:rPr>
        <w:t>Bank of Credit and Commerce International SA v Aboody and Another</w:t>
      </w:r>
      <w:r w:rsidRPr="00D54E0F">
        <w:rPr>
          <w:rFonts w:ascii="Cambria" w:hAnsi="Cambria" w:cs="Arial"/>
          <w:spacing w:val="-2"/>
          <w:sz w:val="22"/>
          <w:szCs w:val="22"/>
        </w:rPr>
        <w:t xml:space="preserve">, Note (1993) Volume 8 Issue 3 </w:t>
      </w:r>
      <w:r w:rsidRPr="00D54E0F">
        <w:rPr>
          <w:rFonts w:ascii="Cambria" w:hAnsi="Cambria" w:cs="Arial"/>
          <w:iCs/>
          <w:spacing w:val="-2"/>
          <w:sz w:val="22"/>
          <w:szCs w:val="22"/>
        </w:rPr>
        <w:t>Journal of International Banking Law</w:t>
      </w:r>
    </w:p>
    <w:p w14:paraId="00BFA1D7"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spacing w:val="-2"/>
          <w:sz w:val="22"/>
          <w:szCs w:val="22"/>
        </w:rPr>
      </w:pPr>
      <w:r w:rsidRPr="00D54E0F">
        <w:rPr>
          <w:rFonts w:ascii="Cambria" w:hAnsi="Cambria" w:cs="Arial"/>
          <w:spacing w:val="-2"/>
          <w:sz w:val="22"/>
          <w:szCs w:val="22"/>
        </w:rPr>
        <w:t xml:space="preserve">Blumberg, </w:t>
      </w:r>
      <w:r w:rsidRPr="00D54E0F">
        <w:rPr>
          <w:rFonts w:ascii="Cambria" w:hAnsi="Cambria" w:cs="Arial"/>
          <w:iCs/>
          <w:spacing w:val="-2"/>
          <w:sz w:val="22"/>
          <w:szCs w:val="22"/>
        </w:rPr>
        <w:t>The Multinational Challenge to Corporation Law: The Search for a New Corporate Personality</w:t>
      </w:r>
      <w:r w:rsidRPr="00D54E0F">
        <w:rPr>
          <w:rFonts w:ascii="Cambria" w:hAnsi="Cambria" w:cs="Arial"/>
          <w:spacing w:val="-2"/>
          <w:sz w:val="22"/>
          <w:szCs w:val="22"/>
        </w:rPr>
        <w:t xml:space="preserve"> (Oxford, 1993), Review (1994) 57 </w:t>
      </w:r>
      <w:r w:rsidRPr="00D54E0F">
        <w:rPr>
          <w:rFonts w:ascii="Cambria" w:hAnsi="Cambria" w:cs="Arial"/>
          <w:iCs/>
          <w:spacing w:val="-2"/>
          <w:sz w:val="22"/>
          <w:szCs w:val="22"/>
        </w:rPr>
        <w:t>Modern Law Review</w:t>
      </w:r>
    </w:p>
    <w:p w14:paraId="52B05E9D" w14:textId="77777777" w:rsidR="00D52C0D" w:rsidRPr="00D54E0F"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i/>
          <w:spacing w:val="-2"/>
          <w:sz w:val="22"/>
          <w:szCs w:val="22"/>
        </w:rPr>
      </w:pPr>
      <w:r w:rsidRPr="00D54E0F">
        <w:rPr>
          <w:rFonts w:ascii="Cambria" w:hAnsi="Cambria" w:cs="Arial"/>
          <w:spacing w:val="-2"/>
          <w:sz w:val="22"/>
          <w:szCs w:val="22"/>
        </w:rPr>
        <w:t xml:space="preserve">Robert C </w:t>
      </w:r>
      <w:proofErr w:type="spellStart"/>
      <w:r w:rsidRPr="00D54E0F">
        <w:rPr>
          <w:rFonts w:ascii="Cambria" w:hAnsi="Cambria" w:cs="Arial"/>
          <w:spacing w:val="-2"/>
          <w:sz w:val="22"/>
          <w:szCs w:val="22"/>
        </w:rPr>
        <w:t>Effros</w:t>
      </w:r>
      <w:proofErr w:type="spellEnd"/>
      <w:r w:rsidRPr="00D54E0F">
        <w:rPr>
          <w:rFonts w:ascii="Cambria" w:hAnsi="Cambria" w:cs="Arial"/>
          <w:spacing w:val="-2"/>
          <w:sz w:val="22"/>
          <w:szCs w:val="22"/>
        </w:rPr>
        <w:t xml:space="preserve"> (ed.) </w:t>
      </w:r>
      <w:r w:rsidRPr="00D54E0F">
        <w:rPr>
          <w:rFonts w:ascii="Cambria" w:hAnsi="Cambria" w:cs="Arial"/>
          <w:iCs/>
          <w:spacing w:val="-2"/>
          <w:sz w:val="22"/>
          <w:szCs w:val="22"/>
        </w:rPr>
        <w:t>Current Legal Issues Affecting Central Bankers: Volume 1</w:t>
      </w:r>
      <w:r w:rsidRPr="00D54E0F">
        <w:rPr>
          <w:rFonts w:ascii="Cambria" w:hAnsi="Cambria" w:cs="Arial"/>
          <w:spacing w:val="-2"/>
          <w:sz w:val="22"/>
          <w:szCs w:val="22"/>
        </w:rPr>
        <w:t xml:space="preserve"> (1992, International Monetary Fund), Review (1993) Vol. 8, Issue 4, </w:t>
      </w:r>
      <w:r w:rsidRPr="00D54E0F">
        <w:rPr>
          <w:rFonts w:ascii="Cambria" w:hAnsi="Cambria" w:cs="Arial"/>
          <w:iCs/>
          <w:spacing w:val="-2"/>
          <w:sz w:val="22"/>
          <w:szCs w:val="22"/>
        </w:rPr>
        <w:t>Journal of International Banking Law</w:t>
      </w:r>
    </w:p>
    <w:p w14:paraId="532A9F00" w14:textId="577B8D8D" w:rsidR="00D52C0D" w:rsidRPr="00382E37" w:rsidRDefault="00D52C0D" w:rsidP="005F2C0E">
      <w:pPr>
        <w:numPr>
          <w:ilvl w:val="0"/>
          <w:numId w:val="12"/>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i/>
          <w:spacing w:val="-2"/>
          <w:sz w:val="22"/>
          <w:szCs w:val="22"/>
        </w:rPr>
      </w:pPr>
      <w:r w:rsidRPr="00D54E0F">
        <w:rPr>
          <w:rFonts w:ascii="Cambria" w:hAnsi="Cambria" w:cs="Arial"/>
          <w:spacing w:val="-2"/>
          <w:sz w:val="22"/>
          <w:szCs w:val="22"/>
        </w:rPr>
        <w:t xml:space="preserve">Michael </w:t>
      </w:r>
      <w:proofErr w:type="spellStart"/>
      <w:r w:rsidRPr="00D54E0F">
        <w:rPr>
          <w:rFonts w:ascii="Cambria" w:hAnsi="Cambria" w:cs="Arial"/>
          <w:spacing w:val="-2"/>
          <w:sz w:val="22"/>
          <w:szCs w:val="22"/>
        </w:rPr>
        <w:t>Gruson</w:t>
      </w:r>
      <w:proofErr w:type="spellEnd"/>
      <w:r w:rsidRPr="00D54E0F">
        <w:rPr>
          <w:rFonts w:ascii="Cambria" w:hAnsi="Cambria" w:cs="Arial"/>
          <w:spacing w:val="-2"/>
          <w:sz w:val="22"/>
          <w:szCs w:val="22"/>
        </w:rPr>
        <w:t xml:space="preserve"> and Ralph Reisner (eds.) </w:t>
      </w:r>
      <w:r w:rsidRPr="00D54E0F">
        <w:rPr>
          <w:rFonts w:ascii="Cambria" w:hAnsi="Cambria" w:cs="Arial"/>
          <w:iCs/>
          <w:spacing w:val="-2"/>
          <w:sz w:val="22"/>
          <w:szCs w:val="22"/>
        </w:rPr>
        <w:t>Regulation of Foreign Banks: United States and International</w:t>
      </w:r>
      <w:r w:rsidRPr="00D54E0F">
        <w:rPr>
          <w:rFonts w:ascii="Cambria" w:hAnsi="Cambria" w:cs="Arial"/>
          <w:spacing w:val="-2"/>
          <w:sz w:val="22"/>
          <w:szCs w:val="22"/>
        </w:rPr>
        <w:t xml:space="preserve"> (London, 1993), Review (1992) Vol. 7 Issue 11 </w:t>
      </w:r>
      <w:r w:rsidRPr="00D54E0F">
        <w:rPr>
          <w:rFonts w:ascii="Cambria" w:hAnsi="Cambria" w:cs="Arial"/>
          <w:iCs/>
          <w:spacing w:val="-2"/>
          <w:sz w:val="22"/>
          <w:szCs w:val="22"/>
        </w:rPr>
        <w:t>Journal of International Banking Law</w:t>
      </w:r>
      <w:r w:rsidR="00B843C9" w:rsidRPr="00D54E0F">
        <w:rPr>
          <w:rFonts w:ascii="Cambria" w:hAnsi="Cambria" w:cs="Arial"/>
          <w:iCs/>
          <w:spacing w:val="-2"/>
          <w:sz w:val="22"/>
          <w:szCs w:val="22"/>
        </w:rPr>
        <w:t>s</w:t>
      </w:r>
      <w:r w:rsidR="009B3B65">
        <w:rPr>
          <w:rFonts w:ascii="Cambria" w:hAnsi="Cambria" w:cs="Arial"/>
          <w:iCs/>
          <w:spacing w:val="-2"/>
          <w:sz w:val="22"/>
          <w:szCs w:val="22"/>
        </w:rPr>
        <w:t>.</w:t>
      </w:r>
    </w:p>
    <w:p w14:paraId="151769B3" w14:textId="77777777" w:rsidR="00382E37" w:rsidRDefault="00382E37" w:rsidP="00382E37">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iCs/>
          <w:spacing w:val="-2"/>
          <w:sz w:val="22"/>
          <w:szCs w:val="22"/>
        </w:rPr>
      </w:pPr>
    </w:p>
    <w:p w14:paraId="385492FE" w14:textId="77777777" w:rsidR="004B6129" w:rsidRDefault="004B6129" w:rsidP="004B6129">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center"/>
        <w:rPr>
          <w:rFonts w:ascii="Cambria" w:hAnsi="Cambria" w:cs="Arial"/>
          <w:iCs/>
          <w:spacing w:val="-2"/>
          <w:sz w:val="22"/>
          <w:szCs w:val="22"/>
        </w:rPr>
      </w:pPr>
    </w:p>
    <w:p w14:paraId="7832DC19" w14:textId="77777777" w:rsidR="009D1D4B" w:rsidRPr="00D54E0F" w:rsidRDefault="009D1D4B" w:rsidP="009D1D4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righ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suppressAutoHyphens/>
        <w:jc w:val="both"/>
        <w:rPr>
          <w:rFonts w:ascii="Cambria" w:hAnsi="Cambria" w:cs="Arial"/>
          <w:iCs/>
          <w:spacing w:val="-2"/>
          <w:sz w:val="22"/>
          <w:szCs w:val="22"/>
        </w:rPr>
      </w:pPr>
    </w:p>
    <w:p w14:paraId="5E4F36B6" w14:textId="77777777" w:rsidR="00D52C0D" w:rsidRPr="00D54E0F" w:rsidRDefault="00D52C0D" w:rsidP="005F2C0E">
      <w:pPr>
        <w:pStyle w:val="BodyTextIndent"/>
        <w:jc w:val="both"/>
        <w:rPr>
          <w:rFonts w:ascii="Cambria" w:hAnsi="Cambria" w:cs="Arial"/>
          <w:b/>
          <w:bCs/>
          <w:sz w:val="22"/>
          <w:szCs w:val="22"/>
        </w:rPr>
      </w:pPr>
    </w:p>
    <w:sectPr w:rsidR="00D52C0D" w:rsidRPr="00D54E0F" w:rsidSect="00755B41">
      <w:footerReference w:type="even"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C75B" w14:textId="77777777" w:rsidR="00AC674B" w:rsidRDefault="00AC674B">
      <w:r>
        <w:separator/>
      </w:r>
    </w:p>
  </w:endnote>
  <w:endnote w:type="continuationSeparator" w:id="0">
    <w:p w14:paraId="7DFD9A60" w14:textId="77777777" w:rsidR="00AC674B" w:rsidRDefault="00AC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E5BC" w14:textId="77777777" w:rsidR="00A13B52" w:rsidRDefault="00A13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0260E" w14:textId="77777777" w:rsidR="00A13B52" w:rsidRDefault="00A13B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5F49" w14:textId="77777777" w:rsidR="00A13B52" w:rsidRDefault="00A13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B2E">
      <w:rPr>
        <w:rStyle w:val="PageNumber"/>
        <w:noProof/>
      </w:rPr>
      <w:t>4</w:t>
    </w:r>
    <w:r>
      <w:rPr>
        <w:rStyle w:val="PageNumber"/>
      </w:rPr>
      <w:fldChar w:fldCharType="end"/>
    </w:r>
  </w:p>
  <w:p w14:paraId="19A3390E" w14:textId="77777777" w:rsidR="00A13B52" w:rsidRDefault="00A13B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698C7" w14:textId="77777777" w:rsidR="00AC674B" w:rsidRDefault="00AC674B">
      <w:r>
        <w:separator/>
      </w:r>
    </w:p>
  </w:footnote>
  <w:footnote w:type="continuationSeparator" w:id="0">
    <w:p w14:paraId="096DAB7B" w14:textId="77777777" w:rsidR="00AC674B" w:rsidRDefault="00AC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CA3"/>
    <w:multiLevelType w:val="hybridMultilevel"/>
    <w:tmpl w:val="E9FAAD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31230A"/>
    <w:multiLevelType w:val="hybridMultilevel"/>
    <w:tmpl w:val="D59A2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F018B6"/>
    <w:multiLevelType w:val="hybridMultilevel"/>
    <w:tmpl w:val="8B48B12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01647CE"/>
    <w:multiLevelType w:val="hybridMultilevel"/>
    <w:tmpl w:val="EBBC1A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035B7"/>
    <w:multiLevelType w:val="hybridMultilevel"/>
    <w:tmpl w:val="D6806AB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17800"/>
    <w:multiLevelType w:val="hybridMultilevel"/>
    <w:tmpl w:val="CADAB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560195"/>
    <w:multiLevelType w:val="hybridMultilevel"/>
    <w:tmpl w:val="B3DA2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B4E"/>
    <w:multiLevelType w:val="hybridMultilevel"/>
    <w:tmpl w:val="6F36F3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1F300D"/>
    <w:multiLevelType w:val="hybridMultilevel"/>
    <w:tmpl w:val="F3D0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73408"/>
    <w:multiLevelType w:val="hybridMultilevel"/>
    <w:tmpl w:val="A8BE1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546392"/>
    <w:multiLevelType w:val="hybridMultilevel"/>
    <w:tmpl w:val="4CC21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B2543A"/>
    <w:multiLevelType w:val="hybridMultilevel"/>
    <w:tmpl w:val="0840BD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111C4B"/>
    <w:multiLevelType w:val="hybridMultilevel"/>
    <w:tmpl w:val="5032FA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C64A3B"/>
    <w:multiLevelType w:val="hybridMultilevel"/>
    <w:tmpl w:val="E61A0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161AD8"/>
    <w:multiLevelType w:val="hybridMultilevel"/>
    <w:tmpl w:val="20DE60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B612FC"/>
    <w:multiLevelType w:val="hybridMultilevel"/>
    <w:tmpl w:val="1514D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C6701B"/>
    <w:multiLevelType w:val="hybridMultilevel"/>
    <w:tmpl w:val="3056C5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FD261C"/>
    <w:multiLevelType w:val="hybridMultilevel"/>
    <w:tmpl w:val="8294D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922EEF"/>
    <w:multiLevelType w:val="hybridMultilevel"/>
    <w:tmpl w:val="7BBEAE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BF43C2"/>
    <w:multiLevelType w:val="hybridMultilevel"/>
    <w:tmpl w:val="31FE5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F07BA5"/>
    <w:multiLevelType w:val="hybridMultilevel"/>
    <w:tmpl w:val="592EC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36267B"/>
    <w:multiLevelType w:val="hybridMultilevel"/>
    <w:tmpl w:val="0B18F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0245ED"/>
    <w:multiLevelType w:val="hybridMultilevel"/>
    <w:tmpl w:val="B840E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2A7601"/>
    <w:multiLevelType w:val="hybridMultilevel"/>
    <w:tmpl w:val="F88CAB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DB69C6"/>
    <w:multiLevelType w:val="hybridMultilevel"/>
    <w:tmpl w:val="41129C3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A80CC8"/>
    <w:multiLevelType w:val="hybridMultilevel"/>
    <w:tmpl w:val="16088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5E3FCE"/>
    <w:multiLevelType w:val="hybridMultilevel"/>
    <w:tmpl w:val="09E88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A35799"/>
    <w:multiLevelType w:val="hybridMultilevel"/>
    <w:tmpl w:val="92B49C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E3700D"/>
    <w:multiLevelType w:val="hybridMultilevel"/>
    <w:tmpl w:val="D3E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8059A"/>
    <w:multiLevelType w:val="hybridMultilevel"/>
    <w:tmpl w:val="47AAAD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571088"/>
    <w:multiLevelType w:val="hybridMultilevel"/>
    <w:tmpl w:val="AB7A13B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6"/>
  </w:num>
  <w:num w:numId="4">
    <w:abstractNumId w:val="1"/>
  </w:num>
  <w:num w:numId="5">
    <w:abstractNumId w:val="2"/>
  </w:num>
  <w:num w:numId="6">
    <w:abstractNumId w:val="9"/>
  </w:num>
  <w:num w:numId="7">
    <w:abstractNumId w:val="18"/>
  </w:num>
  <w:num w:numId="8">
    <w:abstractNumId w:val="16"/>
  </w:num>
  <w:num w:numId="9">
    <w:abstractNumId w:val="21"/>
  </w:num>
  <w:num w:numId="10">
    <w:abstractNumId w:val="14"/>
  </w:num>
  <w:num w:numId="11">
    <w:abstractNumId w:val="13"/>
  </w:num>
  <w:num w:numId="12">
    <w:abstractNumId w:val="7"/>
  </w:num>
  <w:num w:numId="13">
    <w:abstractNumId w:val="27"/>
  </w:num>
  <w:num w:numId="14">
    <w:abstractNumId w:val="0"/>
  </w:num>
  <w:num w:numId="15">
    <w:abstractNumId w:val="11"/>
  </w:num>
  <w:num w:numId="16">
    <w:abstractNumId w:val="29"/>
  </w:num>
  <w:num w:numId="17">
    <w:abstractNumId w:val="12"/>
  </w:num>
  <w:num w:numId="18">
    <w:abstractNumId w:val="30"/>
  </w:num>
  <w:num w:numId="19">
    <w:abstractNumId w:val="23"/>
  </w:num>
  <w:num w:numId="20">
    <w:abstractNumId w:val="25"/>
  </w:num>
  <w:num w:numId="21">
    <w:abstractNumId w:val="5"/>
  </w:num>
  <w:num w:numId="22">
    <w:abstractNumId w:val="24"/>
  </w:num>
  <w:num w:numId="23">
    <w:abstractNumId w:val="4"/>
  </w:num>
  <w:num w:numId="24">
    <w:abstractNumId w:val="17"/>
  </w:num>
  <w:num w:numId="25">
    <w:abstractNumId w:val="28"/>
  </w:num>
  <w:num w:numId="26">
    <w:abstractNumId w:val="8"/>
  </w:num>
  <w:num w:numId="27">
    <w:abstractNumId w:val="15"/>
  </w:num>
  <w:num w:numId="28">
    <w:abstractNumId w:val="22"/>
  </w:num>
  <w:num w:numId="29">
    <w:abstractNumId w:val="10"/>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D7"/>
    <w:rsid w:val="0001337B"/>
    <w:rsid w:val="00021463"/>
    <w:rsid w:val="0003024F"/>
    <w:rsid w:val="00030779"/>
    <w:rsid w:val="00063877"/>
    <w:rsid w:val="00076B1E"/>
    <w:rsid w:val="000771AF"/>
    <w:rsid w:val="00084E5A"/>
    <w:rsid w:val="00090556"/>
    <w:rsid w:val="00092891"/>
    <w:rsid w:val="000A7432"/>
    <w:rsid w:val="000B1F25"/>
    <w:rsid w:val="000B2E90"/>
    <w:rsid w:val="000B3708"/>
    <w:rsid w:val="000C15BF"/>
    <w:rsid w:val="000C2FFC"/>
    <w:rsid w:val="000C3418"/>
    <w:rsid w:val="000D4A18"/>
    <w:rsid w:val="000E469F"/>
    <w:rsid w:val="000E5FE6"/>
    <w:rsid w:val="000E7998"/>
    <w:rsid w:val="000F1377"/>
    <w:rsid w:val="00116C6A"/>
    <w:rsid w:val="0012141E"/>
    <w:rsid w:val="001238AD"/>
    <w:rsid w:val="00126E3C"/>
    <w:rsid w:val="00133F03"/>
    <w:rsid w:val="0014280B"/>
    <w:rsid w:val="00145C51"/>
    <w:rsid w:val="0014605B"/>
    <w:rsid w:val="00155DC4"/>
    <w:rsid w:val="00166896"/>
    <w:rsid w:val="00166E49"/>
    <w:rsid w:val="001677E2"/>
    <w:rsid w:val="00184055"/>
    <w:rsid w:val="001926EF"/>
    <w:rsid w:val="001966F9"/>
    <w:rsid w:val="001A5CFE"/>
    <w:rsid w:val="001A6BB0"/>
    <w:rsid w:val="001B01D8"/>
    <w:rsid w:val="001B0D4A"/>
    <w:rsid w:val="001C7C2C"/>
    <w:rsid w:val="001F324E"/>
    <w:rsid w:val="001F5B4D"/>
    <w:rsid w:val="00205647"/>
    <w:rsid w:val="002110CA"/>
    <w:rsid w:val="00217723"/>
    <w:rsid w:val="002215AE"/>
    <w:rsid w:val="00226A0A"/>
    <w:rsid w:val="00226F44"/>
    <w:rsid w:val="00232EF8"/>
    <w:rsid w:val="00253450"/>
    <w:rsid w:val="00264291"/>
    <w:rsid w:val="002667B6"/>
    <w:rsid w:val="00274A3E"/>
    <w:rsid w:val="00292361"/>
    <w:rsid w:val="002952AC"/>
    <w:rsid w:val="002967B2"/>
    <w:rsid w:val="0029786C"/>
    <w:rsid w:val="002A55E6"/>
    <w:rsid w:val="002A6918"/>
    <w:rsid w:val="002A715E"/>
    <w:rsid w:val="002B4D62"/>
    <w:rsid w:val="002C58CF"/>
    <w:rsid w:val="002D6FDD"/>
    <w:rsid w:val="002E543F"/>
    <w:rsid w:val="002E5B5D"/>
    <w:rsid w:val="002F400D"/>
    <w:rsid w:val="002F6AE2"/>
    <w:rsid w:val="0030003C"/>
    <w:rsid w:val="003012DA"/>
    <w:rsid w:val="00315BFA"/>
    <w:rsid w:val="00320BD3"/>
    <w:rsid w:val="00336774"/>
    <w:rsid w:val="00337041"/>
    <w:rsid w:val="0035540B"/>
    <w:rsid w:val="00357AA7"/>
    <w:rsid w:val="00360AC0"/>
    <w:rsid w:val="00364839"/>
    <w:rsid w:val="00373664"/>
    <w:rsid w:val="00375D10"/>
    <w:rsid w:val="00377A07"/>
    <w:rsid w:val="00377BA9"/>
    <w:rsid w:val="00382E37"/>
    <w:rsid w:val="00395F14"/>
    <w:rsid w:val="003A69D1"/>
    <w:rsid w:val="003B5446"/>
    <w:rsid w:val="003C758B"/>
    <w:rsid w:val="003C77AD"/>
    <w:rsid w:val="003D0471"/>
    <w:rsid w:val="003D07B0"/>
    <w:rsid w:val="003D5890"/>
    <w:rsid w:val="003D649C"/>
    <w:rsid w:val="003D72F8"/>
    <w:rsid w:val="003E1DD4"/>
    <w:rsid w:val="003F2C04"/>
    <w:rsid w:val="00400A75"/>
    <w:rsid w:val="00402896"/>
    <w:rsid w:val="0041537B"/>
    <w:rsid w:val="00423F32"/>
    <w:rsid w:val="00431B4F"/>
    <w:rsid w:val="00436705"/>
    <w:rsid w:val="00441138"/>
    <w:rsid w:val="00443B43"/>
    <w:rsid w:val="00443D58"/>
    <w:rsid w:val="004510C1"/>
    <w:rsid w:val="00452015"/>
    <w:rsid w:val="004554D2"/>
    <w:rsid w:val="004730FF"/>
    <w:rsid w:val="0048769A"/>
    <w:rsid w:val="004902DC"/>
    <w:rsid w:val="004906EB"/>
    <w:rsid w:val="00495DFB"/>
    <w:rsid w:val="00497CD1"/>
    <w:rsid w:val="004A0992"/>
    <w:rsid w:val="004A3ED4"/>
    <w:rsid w:val="004A4185"/>
    <w:rsid w:val="004A62C0"/>
    <w:rsid w:val="004A6C49"/>
    <w:rsid w:val="004A77EA"/>
    <w:rsid w:val="004B6129"/>
    <w:rsid w:val="004C0C8D"/>
    <w:rsid w:val="004C12F6"/>
    <w:rsid w:val="004C157B"/>
    <w:rsid w:val="004D270B"/>
    <w:rsid w:val="004D2EBA"/>
    <w:rsid w:val="004D3EC6"/>
    <w:rsid w:val="004D7E79"/>
    <w:rsid w:val="004E5258"/>
    <w:rsid w:val="004F00F7"/>
    <w:rsid w:val="004F0441"/>
    <w:rsid w:val="0051018E"/>
    <w:rsid w:val="00512CC7"/>
    <w:rsid w:val="00521A64"/>
    <w:rsid w:val="00522535"/>
    <w:rsid w:val="0052376E"/>
    <w:rsid w:val="005329D9"/>
    <w:rsid w:val="005339BD"/>
    <w:rsid w:val="00534962"/>
    <w:rsid w:val="00551C0F"/>
    <w:rsid w:val="00564BD7"/>
    <w:rsid w:val="005768C8"/>
    <w:rsid w:val="00577CEA"/>
    <w:rsid w:val="00580D93"/>
    <w:rsid w:val="00584234"/>
    <w:rsid w:val="00592736"/>
    <w:rsid w:val="00596DA9"/>
    <w:rsid w:val="005A14A3"/>
    <w:rsid w:val="005A1508"/>
    <w:rsid w:val="005A3074"/>
    <w:rsid w:val="005B0FD1"/>
    <w:rsid w:val="005B4BBD"/>
    <w:rsid w:val="005B4EAB"/>
    <w:rsid w:val="005C26E2"/>
    <w:rsid w:val="005C4FA0"/>
    <w:rsid w:val="005D095C"/>
    <w:rsid w:val="005D411D"/>
    <w:rsid w:val="005D69A4"/>
    <w:rsid w:val="005D7BCF"/>
    <w:rsid w:val="005E0881"/>
    <w:rsid w:val="005E6F88"/>
    <w:rsid w:val="005E760E"/>
    <w:rsid w:val="005F2C0E"/>
    <w:rsid w:val="005F682C"/>
    <w:rsid w:val="00607547"/>
    <w:rsid w:val="00616879"/>
    <w:rsid w:val="00626A69"/>
    <w:rsid w:val="00627454"/>
    <w:rsid w:val="00634EA9"/>
    <w:rsid w:val="00642ED1"/>
    <w:rsid w:val="006535EA"/>
    <w:rsid w:val="00655618"/>
    <w:rsid w:val="006616C7"/>
    <w:rsid w:val="00667AE1"/>
    <w:rsid w:val="00671B95"/>
    <w:rsid w:val="00684520"/>
    <w:rsid w:val="00684C8F"/>
    <w:rsid w:val="0069383F"/>
    <w:rsid w:val="0069515B"/>
    <w:rsid w:val="0069656A"/>
    <w:rsid w:val="00697658"/>
    <w:rsid w:val="006A33D3"/>
    <w:rsid w:val="006A548A"/>
    <w:rsid w:val="006B20B1"/>
    <w:rsid w:val="006C1AB0"/>
    <w:rsid w:val="006C691E"/>
    <w:rsid w:val="006D54FE"/>
    <w:rsid w:val="006D62D6"/>
    <w:rsid w:val="006D7BA2"/>
    <w:rsid w:val="006D7D87"/>
    <w:rsid w:val="006E1A37"/>
    <w:rsid w:val="006E21F3"/>
    <w:rsid w:val="006F75BF"/>
    <w:rsid w:val="00701956"/>
    <w:rsid w:val="00702302"/>
    <w:rsid w:val="00704467"/>
    <w:rsid w:val="00714E15"/>
    <w:rsid w:val="00723C37"/>
    <w:rsid w:val="00745C82"/>
    <w:rsid w:val="00750E37"/>
    <w:rsid w:val="00751BA3"/>
    <w:rsid w:val="00755B41"/>
    <w:rsid w:val="00765CA8"/>
    <w:rsid w:val="0076612B"/>
    <w:rsid w:val="00771ED7"/>
    <w:rsid w:val="00775631"/>
    <w:rsid w:val="00780781"/>
    <w:rsid w:val="00784B76"/>
    <w:rsid w:val="007852B7"/>
    <w:rsid w:val="007A56DC"/>
    <w:rsid w:val="007A61EA"/>
    <w:rsid w:val="007B307F"/>
    <w:rsid w:val="007B6B21"/>
    <w:rsid w:val="007D19C4"/>
    <w:rsid w:val="007E3804"/>
    <w:rsid w:val="007F301B"/>
    <w:rsid w:val="007F5DAD"/>
    <w:rsid w:val="008054BB"/>
    <w:rsid w:val="00807250"/>
    <w:rsid w:val="0081149B"/>
    <w:rsid w:val="008172E7"/>
    <w:rsid w:val="00820789"/>
    <w:rsid w:val="00823E34"/>
    <w:rsid w:val="00835C84"/>
    <w:rsid w:val="0085558A"/>
    <w:rsid w:val="00874F03"/>
    <w:rsid w:val="00887646"/>
    <w:rsid w:val="00887A2F"/>
    <w:rsid w:val="00887A81"/>
    <w:rsid w:val="0089040B"/>
    <w:rsid w:val="0089235D"/>
    <w:rsid w:val="008B0B7B"/>
    <w:rsid w:val="008B465C"/>
    <w:rsid w:val="008B5F84"/>
    <w:rsid w:val="008B6E59"/>
    <w:rsid w:val="008C6C8B"/>
    <w:rsid w:val="008C75BC"/>
    <w:rsid w:val="008D0B31"/>
    <w:rsid w:val="008E4CA5"/>
    <w:rsid w:val="008E7215"/>
    <w:rsid w:val="008F5C86"/>
    <w:rsid w:val="009042B4"/>
    <w:rsid w:val="009057D7"/>
    <w:rsid w:val="0091462F"/>
    <w:rsid w:val="009231B9"/>
    <w:rsid w:val="00940637"/>
    <w:rsid w:val="00950495"/>
    <w:rsid w:val="00966295"/>
    <w:rsid w:val="00966C7D"/>
    <w:rsid w:val="00972609"/>
    <w:rsid w:val="00974ED1"/>
    <w:rsid w:val="00976F27"/>
    <w:rsid w:val="00990FA8"/>
    <w:rsid w:val="00996411"/>
    <w:rsid w:val="0099793B"/>
    <w:rsid w:val="009A2F89"/>
    <w:rsid w:val="009B3B65"/>
    <w:rsid w:val="009B7B18"/>
    <w:rsid w:val="009C15A8"/>
    <w:rsid w:val="009C6AD4"/>
    <w:rsid w:val="009D1D4B"/>
    <w:rsid w:val="009D7495"/>
    <w:rsid w:val="009E0F35"/>
    <w:rsid w:val="009F7845"/>
    <w:rsid w:val="00A01751"/>
    <w:rsid w:val="00A02C7A"/>
    <w:rsid w:val="00A0610D"/>
    <w:rsid w:val="00A13B52"/>
    <w:rsid w:val="00A2011C"/>
    <w:rsid w:val="00A257FB"/>
    <w:rsid w:val="00A3037F"/>
    <w:rsid w:val="00A30E98"/>
    <w:rsid w:val="00A403BE"/>
    <w:rsid w:val="00A47911"/>
    <w:rsid w:val="00A52040"/>
    <w:rsid w:val="00A522F6"/>
    <w:rsid w:val="00A5314A"/>
    <w:rsid w:val="00A533B2"/>
    <w:rsid w:val="00A55403"/>
    <w:rsid w:val="00A555E0"/>
    <w:rsid w:val="00A5611F"/>
    <w:rsid w:val="00A61DEA"/>
    <w:rsid w:val="00A638B4"/>
    <w:rsid w:val="00A70323"/>
    <w:rsid w:val="00A71B2A"/>
    <w:rsid w:val="00A83083"/>
    <w:rsid w:val="00A8537E"/>
    <w:rsid w:val="00AA3007"/>
    <w:rsid w:val="00AA3107"/>
    <w:rsid w:val="00AA3907"/>
    <w:rsid w:val="00AA73BF"/>
    <w:rsid w:val="00AC674B"/>
    <w:rsid w:val="00AC6DA6"/>
    <w:rsid w:val="00AD66FD"/>
    <w:rsid w:val="00AE6481"/>
    <w:rsid w:val="00AF0B8F"/>
    <w:rsid w:val="00AF2F11"/>
    <w:rsid w:val="00AF34D3"/>
    <w:rsid w:val="00AF64A0"/>
    <w:rsid w:val="00B0353F"/>
    <w:rsid w:val="00B03639"/>
    <w:rsid w:val="00B122D0"/>
    <w:rsid w:val="00B14032"/>
    <w:rsid w:val="00B16794"/>
    <w:rsid w:val="00B23835"/>
    <w:rsid w:val="00B27119"/>
    <w:rsid w:val="00B3167F"/>
    <w:rsid w:val="00B35D26"/>
    <w:rsid w:val="00B5502D"/>
    <w:rsid w:val="00B55717"/>
    <w:rsid w:val="00B5690A"/>
    <w:rsid w:val="00B57834"/>
    <w:rsid w:val="00B671F9"/>
    <w:rsid w:val="00B73D5B"/>
    <w:rsid w:val="00B83092"/>
    <w:rsid w:val="00B83FB8"/>
    <w:rsid w:val="00B843C9"/>
    <w:rsid w:val="00B846BE"/>
    <w:rsid w:val="00B90DAE"/>
    <w:rsid w:val="00B911CC"/>
    <w:rsid w:val="00B917D6"/>
    <w:rsid w:val="00BA4C05"/>
    <w:rsid w:val="00BA758A"/>
    <w:rsid w:val="00BC5039"/>
    <w:rsid w:val="00BD1EAD"/>
    <w:rsid w:val="00BD28F3"/>
    <w:rsid w:val="00BD43E4"/>
    <w:rsid w:val="00BD4D81"/>
    <w:rsid w:val="00BE0535"/>
    <w:rsid w:val="00BF5C51"/>
    <w:rsid w:val="00C01EE3"/>
    <w:rsid w:val="00C035D6"/>
    <w:rsid w:val="00C062F2"/>
    <w:rsid w:val="00C112DB"/>
    <w:rsid w:val="00C11D16"/>
    <w:rsid w:val="00C124DE"/>
    <w:rsid w:val="00C1294E"/>
    <w:rsid w:val="00C166A1"/>
    <w:rsid w:val="00C17212"/>
    <w:rsid w:val="00C1766A"/>
    <w:rsid w:val="00C17FBB"/>
    <w:rsid w:val="00C27A57"/>
    <w:rsid w:val="00C27FE1"/>
    <w:rsid w:val="00C31D4F"/>
    <w:rsid w:val="00C4291C"/>
    <w:rsid w:val="00C56FA9"/>
    <w:rsid w:val="00C57206"/>
    <w:rsid w:val="00C67E08"/>
    <w:rsid w:val="00C70027"/>
    <w:rsid w:val="00C73E07"/>
    <w:rsid w:val="00C80BBB"/>
    <w:rsid w:val="00C82588"/>
    <w:rsid w:val="00C84113"/>
    <w:rsid w:val="00C879A0"/>
    <w:rsid w:val="00C93F50"/>
    <w:rsid w:val="00C95428"/>
    <w:rsid w:val="00CA156D"/>
    <w:rsid w:val="00CA15C4"/>
    <w:rsid w:val="00CA3B51"/>
    <w:rsid w:val="00CA52B0"/>
    <w:rsid w:val="00CA6262"/>
    <w:rsid w:val="00CB087A"/>
    <w:rsid w:val="00CB43B0"/>
    <w:rsid w:val="00CC0633"/>
    <w:rsid w:val="00CC2B2E"/>
    <w:rsid w:val="00CC48DD"/>
    <w:rsid w:val="00CC5003"/>
    <w:rsid w:val="00CD5BE3"/>
    <w:rsid w:val="00CE2907"/>
    <w:rsid w:val="00CE682B"/>
    <w:rsid w:val="00CF0CDC"/>
    <w:rsid w:val="00CF2B72"/>
    <w:rsid w:val="00CF516A"/>
    <w:rsid w:val="00CF62F5"/>
    <w:rsid w:val="00D03378"/>
    <w:rsid w:val="00D10756"/>
    <w:rsid w:val="00D147DF"/>
    <w:rsid w:val="00D162D5"/>
    <w:rsid w:val="00D20388"/>
    <w:rsid w:val="00D2270F"/>
    <w:rsid w:val="00D26FCB"/>
    <w:rsid w:val="00D42D3F"/>
    <w:rsid w:val="00D52A8D"/>
    <w:rsid w:val="00D52C0D"/>
    <w:rsid w:val="00D54E0F"/>
    <w:rsid w:val="00D576E2"/>
    <w:rsid w:val="00D669A6"/>
    <w:rsid w:val="00D80432"/>
    <w:rsid w:val="00D854E1"/>
    <w:rsid w:val="00D90267"/>
    <w:rsid w:val="00D9530A"/>
    <w:rsid w:val="00DA029F"/>
    <w:rsid w:val="00DA730E"/>
    <w:rsid w:val="00DC7E0A"/>
    <w:rsid w:val="00DE0EE3"/>
    <w:rsid w:val="00DE4D1D"/>
    <w:rsid w:val="00DF0325"/>
    <w:rsid w:val="00DF2168"/>
    <w:rsid w:val="00E109E3"/>
    <w:rsid w:val="00E160C5"/>
    <w:rsid w:val="00E16147"/>
    <w:rsid w:val="00E25ABE"/>
    <w:rsid w:val="00E272F0"/>
    <w:rsid w:val="00E3633E"/>
    <w:rsid w:val="00E404FF"/>
    <w:rsid w:val="00E405D0"/>
    <w:rsid w:val="00E432FC"/>
    <w:rsid w:val="00E46E6D"/>
    <w:rsid w:val="00E47986"/>
    <w:rsid w:val="00E63C54"/>
    <w:rsid w:val="00E663B6"/>
    <w:rsid w:val="00E6655A"/>
    <w:rsid w:val="00E7519C"/>
    <w:rsid w:val="00E86528"/>
    <w:rsid w:val="00E90CAA"/>
    <w:rsid w:val="00E92346"/>
    <w:rsid w:val="00E946BC"/>
    <w:rsid w:val="00E973F7"/>
    <w:rsid w:val="00EA0371"/>
    <w:rsid w:val="00EA1A3D"/>
    <w:rsid w:val="00EA712A"/>
    <w:rsid w:val="00EB24C4"/>
    <w:rsid w:val="00EC2D28"/>
    <w:rsid w:val="00EC4573"/>
    <w:rsid w:val="00EC63DE"/>
    <w:rsid w:val="00EC64D0"/>
    <w:rsid w:val="00ED28CC"/>
    <w:rsid w:val="00ED2AAE"/>
    <w:rsid w:val="00EE2F74"/>
    <w:rsid w:val="00EF08D3"/>
    <w:rsid w:val="00F141CA"/>
    <w:rsid w:val="00F27805"/>
    <w:rsid w:val="00F30430"/>
    <w:rsid w:val="00F34BB2"/>
    <w:rsid w:val="00F34F7D"/>
    <w:rsid w:val="00F377A2"/>
    <w:rsid w:val="00F458AA"/>
    <w:rsid w:val="00F45E19"/>
    <w:rsid w:val="00F51F26"/>
    <w:rsid w:val="00F52983"/>
    <w:rsid w:val="00F53727"/>
    <w:rsid w:val="00F53D16"/>
    <w:rsid w:val="00F55426"/>
    <w:rsid w:val="00F6332A"/>
    <w:rsid w:val="00F65B32"/>
    <w:rsid w:val="00F734A5"/>
    <w:rsid w:val="00F74D78"/>
    <w:rsid w:val="00F75DB7"/>
    <w:rsid w:val="00F84188"/>
    <w:rsid w:val="00F92574"/>
    <w:rsid w:val="00FB086F"/>
    <w:rsid w:val="00FB3C42"/>
    <w:rsid w:val="00FB46AF"/>
    <w:rsid w:val="00FB4DC6"/>
    <w:rsid w:val="00FB5451"/>
    <w:rsid w:val="00FC29BE"/>
    <w:rsid w:val="00FC5586"/>
    <w:rsid w:val="00FC655A"/>
    <w:rsid w:val="00FD35A6"/>
    <w:rsid w:val="00FD3E23"/>
    <w:rsid w:val="00FD5F87"/>
    <w:rsid w:val="00FD722A"/>
    <w:rsid w:val="00FE50B8"/>
    <w:rsid w:val="00FE74DA"/>
    <w:rsid w:val="00FF23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27DCF"/>
  <w15:docId w15:val="{9D4AABC1-1E58-4C47-9224-43694703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664"/>
    <w:rPr>
      <w:rFonts w:ascii="Arial" w:hAnsi="Arial"/>
      <w:lang w:eastAsia="en-US"/>
    </w:rPr>
  </w:style>
  <w:style w:type="paragraph" w:styleId="Heading1">
    <w:name w:val="heading 1"/>
    <w:basedOn w:val="Normal"/>
    <w:next w:val="Normal"/>
    <w:qFormat/>
    <w:rsid w:val="00373664"/>
    <w:pPr>
      <w:keepNext/>
      <w:ind w:firstLine="360"/>
      <w:outlineLvl w:val="0"/>
    </w:pPr>
    <w:rPr>
      <w:b/>
      <w:bCs/>
    </w:rPr>
  </w:style>
  <w:style w:type="paragraph" w:styleId="Heading2">
    <w:name w:val="heading 2"/>
    <w:basedOn w:val="Normal"/>
    <w:next w:val="Normal"/>
    <w:qFormat/>
    <w:rsid w:val="00373664"/>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73664"/>
    <w:pPr>
      <w:ind w:left="360"/>
    </w:pPr>
  </w:style>
  <w:style w:type="paragraph" w:styleId="Footer">
    <w:name w:val="footer"/>
    <w:basedOn w:val="Normal"/>
    <w:rsid w:val="00373664"/>
    <w:pPr>
      <w:tabs>
        <w:tab w:val="center" w:pos="4153"/>
        <w:tab w:val="right" w:pos="8306"/>
      </w:tabs>
    </w:pPr>
  </w:style>
  <w:style w:type="character" w:styleId="PageNumber">
    <w:name w:val="page number"/>
    <w:basedOn w:val="DefaultParagraphFont"/>
    <w:rsid w:val="00373664"/>
  </w:style>
  <w:style w:type="character" w:styleId="Hyperlink">
    <w:name w:val="Hyperlink"/>
    <w:basedOn w:val="DefaultParagraphFont"/>
    <w:rsid w:val="00FC29BE"/>
    <w:rPr>
      <w:color w:val="0000FF"/>
      <w:u w:val="single"/>
    </w:rPr>
  </w:style>
  <w:style w:type="paragraph" w:styleId="ListParagraph">
    <w:name w:val="List Paragraph"/>
    <w:basedOn w:val="Normal"/>
    <w:uiPriority w:val="34"/>
    <w:qFormat/>
    <w:rsid w:val="0044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KENNETH MCGUIRE</vt:lpstr>
    </vt:vector>
  </TitlesOfParts>
  <Company>Unknown Organization</Company>
  <LinksUpToDate>false</LinksUpToDate>
  <CharactersWithSpaces>10356</CharactersWithSpaces>
  <SharedDoc>false</SharedDoc>
  <HLinks>
    <vt:vector size="6" baseType="variant">
      <vt:variant>
        <vt:i4>131122</vt:i4>
      </vt:variant>
      <vt:variant>
        <vt:i4>0</vt:i4>
      </vt:variant>
      <vt:variant>
        <vt:i4>0</vt:i4>
      </vt:variant>
      <vt:variant>
        <vt:i4>5</vt:i4>
      </vt:variant>
      <vt:variant>
        <vt:lpwstr>mailto:kennethm@btopenworld.com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MCGUIRE</dc:title>
  <dc:creator>Unknown User</dc:creator>
  <cp:lastModifiedBy>Kenneth McGuire</cp:lastModifiedBy>
  <cp:revision>5</cp:revision>
  <cp:lastPrinted>2012-09-26T12:37:00Z</cp:lastPrinted>
  <dcterms:created xsi:type="dcterms:W3CDTF">2020-03-25T11:40:00Z</dcterms:created>
  <dcterms:modified xsi:type="dcterms:W3CDTF">2020-03-25T11:43:00Z</dcterms:modified>
</cp:coreProperties>
</file>